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82" w:rsidRDefault="00171E82" w:rsidP="00171E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171E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Contabilizzazione del calore: novità per il condominio</w:t>
      </w:r>
    </w:p>
    <w:p w:rsidR="00171E82" w:rsidRDefault="00171E82" w:rsidP="00171E82">
      <w:pPr>
        <w:pStyle w:val="Titolo2"/>
      </w:pPr>
      <w:proofErr w:type="gramStart"/>
      <w:r>
        <w:t>Decreto legislativo 14 luglio 2020, n. 73: nuove regole per la ripartizione delle spese di riscaldamento in condominio.</w:t>
      </w:r>
      <w:proofErr w:type="gramEnd"/>
    </w:p>
    <w:p w:rsidR="00171E82" w:rsidRDefault="00171E82" w:rsidP="00171E82">
      <w:pPr>
        <w:pStyle w:val="NormaleWeb"/>
      </w:pPr>
      <w:r>
        <w:t xml:space="preserve">Com'è noto a tutti </w:t>
      </w:r>
      <w:proofErr w:type="gramStart"/>
      <w:r>
        <w:t>coloro</w:t>
      </w:r>
      <w:proofErr w:type="gramEnd"/>
      <w:r>
        <w:t xml:space="preserve"> che vivono in condominio, il d. </w:t>
      </w:r>
      <w:proofErr w:type="spellStart"/>
      <w:r>
        <w:t>lgs</w:t>
      </w:r>
      <w:proofErr w:type="spellEnd"/>
      <w:r>
        <w:t xml:space="preserve">. n. 102/2014 ha introdotto l'obbligo della </w:t>
      </w:r>
      <w:r>
        <w:rPr>
          <w:rStyle w:val="Enfasigrassetto"/>
          <w:rFonts w:eastAsiaTheme="majorEastAsia"/>
        </w:rPr>
        <w:t>contabilizzazione del calore in condominio</w:t>
      </w:r>
      <w:r>
        <w:t xml:space="preserve"> . In pratica, al fine di garantire il risparmio energetico e una maggiore efficienza, gli impianti di riscaldamento centralizzato dei condomini devono essere dotati di contatori individuali.</w:t>
      </w:r>
    </w:p>
    <w:p w:rsidR="00171E82" w:rsidRDefault="00171E82" w:rsidP="00171E82">
      <w:pPr>
        <w:pStyle w:val="NormaleWeb"/>
      </w:pPr>
      <w:r>
        <w:t xml:space="preserve">La normativa è stata modificata con il nuovissimo </w:t>
      </w:r>
      <w:hyperlink r:id="rId5" w:tgtFrame="_blank" w:history="1">
        <w:r>
          <w:rPr>
            <w:rStyle w:val="Collegamentoipertestuale"/>
            <w:rFonts w:eastAsiaTheme="majorEastAsia"/>
            <w:b/>
            <w:bCs/>
          </w:rPr>
          <w:t xml:space="preserve">D. </w:t>
        </w:r>
        <w:proofErr w:type="spellStart"/>
        <w:r>
          <w:rPr>
            <w:rStyle w:val="Collegamentoipertestuale"/>
            <w:rFonts w:eastAsiaTheme="majorEastAsia"/>
            <w:b/>
            <w:bCs/>
          </w:rPr>
          <w:t>lgs</w:t>
        </w:r>
        <w:proofErr w:type="spellEnd"/>
        <w:r>
          <w:rPr>
            <w:rStyle w:val="Collegamentoipertestuale"/>
            <w:rFonts w:eastAsiaTheme="majorEastAsia"/>
            <w:b/>
            <w:bCs/>
          </w:rPr>
          <w:t>. 14 luglio 2020, n. 73</w:t>
        </w:r>
      </w:hyperlink>
      <w:r>
        <w:t>, pubblicato in Gazzetta Ufficiale il 14 luglio 2020 e in vigore a partire dal 29 dello stesso mese.</w:t>
      </w:r>
    </w:p>
    <w:p w:rsidR="00171E82" w:rsidRDefault="00171E82" w:rsidP="00171E82">
      <w:pPr>
        <w:pStyle w:val="NormaleWeb"/>
      </w:pPr>
      <w:r>
        <w:t xml:space="preserve">Si tratta del decreto di recepimento della Direttiva 2018/2002, in attuazione della Direttiva 2012/27, che reca con sé alcune considerevoli novità che cambieranno nuovamente la </w:t>
      </w:r>
      <w:proofErr w:type="gramStart"/>
      <w:r>
        <w:rPr>
          <w:rStyle w:val="Enfasigrassetto"/>
          <w:rFonts w:eastAsiaTheme="majorEastAsia"/>
        </w:rPr>
        <w:t>modalità</w:t>
      </w:r>
      <w:proofErr w:type="gramEnd"/>
      <w:r>
        <w:rPr>
          <w:rStyle w:val="Enfasigrassetto"/>
          <w:rFonts w:eastAsiaTheme="majorEastAsia"/>
        </w:rPr>
        <w:t xml:space="preserve"> di ripartizione delle spese energetiche in ambito condominiale</w:t>
      </w:r>
      <w:r>
        <w:t xml:space="preserve">, modificando il D. </w:t>
      </w:r>
      <w:proofErr w:type="spellStart"/>
      <w:r>
        <w:t>lgs</w:t>
      </w:r>
      <w:proofErr w:type="spellEnd"/>
      <w:r>
        <w:t xml:space="preserve">. n. 102/2014, dopo le integrazioni apportate già dal D. </w:t>
      </w:r>
      <w:proofErr w:type="spellStart"/>
      <w:r>
        <w:t>lgs</w:t>
      </w:r>
      <w:proofErr w:type="spellEnd"/>
      <w:r>
        <w:t>. n. 104/2016.</w:t>
      </w:r>
    </w:p>
    <w:p w:rsidR="00171E82" w:rsidRDefault="00171E82" w:rsidP="00171E82">
      <w:pPr>
        <w:pStyle w:val="NormaleWeb"/>
      </w:pPr>
      <w:r>
        <w:t xml:space="preserve">Analizziamo di seguito le principali novità introdotte dal D. </w:t>
      </w:r>
      <w:proofErr w:type="spellStart"/>
      <w:r>
        <w:t>lgs</w:t>
      </w:r>
      <w:proofErr w:type="spellEnd"/>
      <w:r>
        <w:t xml:space="preserve">. n. 73/2020 in materia di </w:t>
      </w:r>
      <w:hyperlink r:id="rId6" w:history="1">
        <w:r>
          <w:rPr>
            <w:rStyle w:val="Collegamentoipertestuale"/>
            <w:rFonts w:eastAsiaTheme="majorEastAsia"/>
            <w:b/>
            <w:bCs/>
          </w:rPr>
          <w:t>contabilizzazione</w:t>
        </w:r>
      </w:hyperlink>
      <w:r>
        <w:t xml:space="preserve"> e </w:t>
      </w:r>
      <w:r>
        <w:rPr>
          <w:rStyle w:val="Enfasigrassetto"/>
          <w:rFonts w:eastAsiaTheme="majorEastAsia"/>
        </w:rPr>
        <w:t>ripartizione delle spese del riscaldamento</w:t>
      </w:r>
      <w:r>
        <w:t xml:space="preserve"> in condominio.</w:t>
      </w:r>
    </w:p>
    <w:p w:rsidR="00171E82" w:rsidRDefault="00171E82" w:rsidP="00171E82">
      <w:pPr>
        <w:pStyle w:val="Titolo3"/>
      </w:pPr>
      <w:proofErr w:type="gramStart"/>
      <w:r>
        <w:t>I nuovi parametri di ripartizione delle spese di calore</w:t>
      </w:r>
      <w:proofErr w:type="gramEnd"/>
    </w:p>
    <w:p w:rsidR="00171E82" w:rsidRDefault="00171E82" w:rsidP="00171E82">
      <w:pPr>
        <w:pStyle w:val="NormaleWeb"/>
      </w:pPr>
      <w:r>
        <w:t xml:space="preserve">La modifica più rilevante in ambito condominiale è sicuramente quella riguardante la nuova </w:t>
      </w:r>
      <w:r>
        <w:rPr>
          <w:rStyle w:val="Enfasigrassetto"/>
          <w:rFonts w:eastAsiaTheme="majorEastAsia"/>
        </w:rPr>
        <w:t>ripartizione delle spese</w:t>
      </w:r>
      <w:r>
        <w:t xml:space="preserve"> , ove viene eliminato il riferimento alla </w:t>
      </w:r>
      <w:hyperlink r:id="rId7" w:history="1">
        <w:r>
          <w:rPr>
            <w:rStyle w:val="Collegamentoipertestuale"/>
            <w:rFonts w:eastAsiaTheme="majorEastAsia"/>
            <w:b/>
            <w:bCs/>
          </w:rPr>
          <w:t>Norma Uni 10200</w:t>
        </w:r>
      </w:hyperlink>
      <w:r>
        <w:t>.</w:t>
      </w:r>
    </w:p>
    <w:p w:rsidR="00171E82" w:rsidRDefault="00171E82" w:rsidP="00171E82">
      <w:pPr>
        <w:pStyle w:val="NormaleWeb"/>
      </w:pPr>
      <w:r>
        <w:t>La Uni 10200 è la norma tecnica che stabilisce i principi per l'</w:t>
      </w:r>
      <w:r>
        <w:rPr>
          <w:rStyle w:val="Enfasigrassetto"/>
          <w:rFonts w:eastAsiaTheme="majorEastAsia"/>
        </w:rPr>
        <w:t>equa ripartizione delle spese</w:t>
      </w:r>
      <w:r>
        <w:t xml:space="preserve"> di climatizzazione invernale e acqua calda sanitaria in edifici di tipo condominiale provvisti o meno di dispositivi per la contabilizzazione dell'energia termica.</w:t>
      </w:r>
    </w:p>
    <w:p w:rsidR="00171E82" w:rsidRDefault="00171E82" w:rsidP="00171E82">
      <w:pPr>
        <w:pStyle w:val="NormaleWeb"/>
      </w:pPr>
      <w:r>
        <w:t xml:space="preserve">La norma Uni </w:t>
      </w:r>
      <w:proofErr w:type="gramStart"/>
      <w:r>
        <w:t>10200 fissa</w:t>
      </w:r>
      <w:proofErr w:type="gramEnd"/>
      <w:r>
        <w:t xml:space="preserve"> i criteri e le indicazioni per ripartire in maniera corretta ed equa la spesa totale di riscaldamento e acqua calda sanitaria negli edifici di tipo condominiale dotati di impianti termici centralizzati.</w:t>
      </w:r>
    </w:p>
    <w:p w:rsidR="00171E82" w:rsidRDefault="00171E82" w:rsidP="00171E82">
      <w:pPr>
        <w:pStyle w:val="NormaleWeb"/>
      </w:pPr>
      <w:r>
        <w:t xml:space="preserve">Il nuovo d. </w:t>
      </w:r>
      <w:proofErr w:type="spellStart"/>
      <w:r>
        <w:t>lgs</w:t>
      </w:r>
      <w:proofErr w:type="spellEnd"/>
      <w:r>
        <w:t xml:space="preserve">. n. 73/2020, all'articolo </w:t>
      </w:r>
      <w:proofErr w:type="gramStart"/>
      <w:r>
        <w:t>9</w:t>
      </w:r>
      <w:proofErr w:type="gramEnd"/>
      <w:r>
        <w:t xml:space="preserve">, eliminando ogni riferimento alla Uni 10200, propone invece un criterio basato sull'attribuzione ai </w:t>
      </w:r>
      <w:r>
        <w:rPr>
          <w:rStyle w:val="Enfasigrassetto"/>
          <w:rFonts w:eastAsiaTheme="majorEastAsia"/>
        </w:rPr>
        <w:t xml:space="preserve">consumi </w:t>
      </w:r>
      <w:proofErr w:type="spellStart"/>
      <w:r>
        <w:rPr>
          <w:rStyle w:val="Enfasigrassetto"/>
          <w:rFonts w:eastAsiaTheme="majorEastAsia"/>
        </w:rPr>
        <w:t>volontaridi</w:t>
      </w:r>
      <w:proofErr w:type="spellEnd"/>
      <w:r>
        <w:rPr>
          <w:rStyle w:val="Enfasigrassetto"/>
          <w:rFonts w:eastAsiaTheme="majorEastAsia"/>
        </w:rPr>
        <w:t xml:space="preserve"> almeno il 50%</w:t>
      </w:r>
      <w:r>
        <w:t xml:space="preserve"> delle spese connesse al consumo di calore per riscaldamento, raffrescamento e produzione di acqua calda per il consumo domestico.</w:t>
      </w:r>
    </w:p>
    <w:p w:rsidR="00171E82" w:rsidRDefault="00171E82" w:rsidP="00171E82">
      <w:pPr>
        <w:pStyle w:val="NormaleWeb"/>
      </w:pPr>
      <w:r>
        <w:t xml:space="preserve">La restante quota parte (corrispondente quindi al massimo al 50% delle spese energetiche) sarà ripartita secondo un parametro che potrà essere (a titolo esemplificativo) i </w:t>
      </w:r>
      <w:r>
        <w:rPr>
          <w:rStyle w:val="Enfasigrassetto"/>
          <w:rFonts w:eastAsiaTheme="majorEastAsia"/>
        </w:rPr>
        <w:t>millesimi</w:t>
      </w:r>
      <w:proofErr w:type="gramStart"/>
      <w:r>
        <w:t xml:space="preserve"> ,</w:t>
      </w:r>
      <w:proofErr w:type="gramEnd"/>
      <w:r>
        <w:t xml:space="preserve"> i metri quadrati o i metri cubi utili o le potenze installate.</w:t>
      </w:r>
    </w:p>
    <w:p w:rsidR="00171E82" w:rsidRDefault="00171E82" w:rsidP="00171E82">
      <w:pPr>
        <w:pStyle w:val="NormaleWeb"/>
      </w:pPr>
      <w:r>
        <w:t xml:space="preserve">Per la precisione, </w:t>
      </w:r>
      <w:proofErr w:type="gramStart"/>
      <w:r>
        <w:t>il succitato art</w:t>
      </w:r>
      <w:proofErr w:type="gramEnd"/>
      <w:r>
        <w:t>. 9, lettera d</w:t>
      </w:r>
      <w:proofErr w:type="gramStart"/>
      <w:r>
        <w:t>)</w:t>
      </w:r>
      <w:proofErr w:type="gramEnd"/>
      <w:r>
        <w:t xml:space="preserve">, del d. </w:t>
      </w:r>
      <w:proofErr w:type="spellStart"/>
      <w:r>
        <w:t>lgs</w:t>
      </w:r>
      <w:proofErr w:type="spellEnd"/>
      <w:r>
        <w:t>. n. 73/2020 così recita:</w:t>
      </w:r>
    </w:p>
    <w:p w:rsidR="00171E82" w:rsidRDefault="00171E82" w:rsidP="00171E82">
      <w:pPr>
        <w:pStyle w:val="NormaleWeb"/>
      </w:pPr>
      <w:r>
        <w:t>«</w:t>
      </w:r>
      <w:r>
        <w:rPr>
          <w:rStyle w:val="Enfasicorsivo"/>
        </w:rPr>
        <w:t xml:space="preserve">quando i condomini o gli edifici polifunzionali sono alimentati da teleriscaldamento o </w:t>
      </w:r>
      <w:proofErr w:type="spellStart"/>
      <w:r>
        <w:rPr>
          <w:rStyle w:val="Enfasicorsivo"/>
        </w:rPr>
        <w:t>teleraffreddamento</w:t>
      </w:r>
      <w:proofErr w:type="spellEnd"/>
      <w:r>
        <w:rPr>
          <w:rStyle w:val="Enfasicorsivo"/>
        </w:rPr>
        <w:t xml:space="preserve"> o da </w:t>
      </w:r>
      <w:r>
        <w:rPr>
          <w:rStyle w:val="Enfasigrassetto"/>
          <w:rFonts w:eastAsiaTheme="majorEastAsia"/>
          <w:i/>
          <w:iCs/>
        </w:rPr>
        <w:t>sistemi comuni di riscaldamento o raffreddamento</w:t>
      </w:r>
      <w:r>
        <w:rPr>
          <w:rStyle w:val="Enfasicorsivo"/>
        </w:rPr>
        <w:t xml:space="preserve">, per la corretta suddivisione delle spese connesse al consumo di calore per il riscaldamento, il raffreddamento delle unità immobiliari e delle aree comuni, </w:t>
      </w:r>
      <w:proofErr w:type="gramStart"/>
      <w:r>
        <w:rPr>
          <w:rStyle w:val="Enfasicorsivo"/>
        </w:rPr>
        <w:t>nonché</w:t>
      </w:r>
      <w:proofErr w:type="gramEnd"/>
      <w:r>
        <w:rPr>
          <w:rStyle w:val="Enfasicorsivo"/>
        </w:rPr>
        <w:t xml:space="preserve"> per l'uso di acqua calda per il fabbisogno domestico, se prodotta in modo centralizzato, l'importo complessivo è suddiviso tra gli utenti finali attribuendo una quota di almeno il 50 per cento agli effettivi prelievi volontari di energia termica.</w:t>
      </w:r>
    </w:p>
    <w:p w:rsidR="00171E82" w:rsidRDefault="00171E82" w:rsidP="00171E82">
      <w:pPr>
        <w:pStyle w:val="NormaleWeb"/>
      </w:pPr>
      <w:r>
        <w:rPr>
          <w:rStyle w:val="Enfasicorsivo"/>
        </w:rPr>
        <w:lastRenderedPageBreak/>
        <w:t xml:space="preserve">In tal caso gli importi rimanenti possono essere ripartiti, a titolo esemplificativo e non esaustivo, secondo i millesimi, i metri quadri o i </w:t>
      </w:r>
      <w:proofErr w:type="gramStart"/>
      <w:r>
        <w:rPr>
          <w:rStyle w:val="Enfasicorsivo"/>
        </w:rPr>
        <w:t>metri</w:t>
      </w:r>
      <w:proofErr w:type="gramEnd"/>
      <w:r>
        <w:rPr>
          <w:rStyle w:val="Enfasicorsivo"/>
        </w:rPr>
        <w:t xml:space="preserve"> cubi utili, oppure secondo le potenze installate.</w:t>
      </w:r>
    </w:p>
    <w:p w:rsidR="00171E82" w:rsidRDefault="00171E82" w:rsidP="00171E82">
      <w:pPr>
        <w:pStyle w:val="NormaleWeb"/>
      </w:pPr>
      <w:r>
        <w:rPr>
          <w:rStyle w:val="Enfasicorsivo"/>
        </w:rPr>
        <w:t>È fatta salva la possibilità, per la prima stagione termica successiva all'installazione dei dispositivi di cui al presente comma, che la suddivisione si determini in base ai soli millesimi di proprietà.</w:t>
      </w:r>
    </w:p>
    <w:p w:rsidR="00171E82" w:rsidRDefault="00171E82" w:rsidP="00171E82">
      <w:pPr>
        <w:pStyle w:val="NormaleWeb"/>
      </w:pPr>
      <w:r>
        <w:rPr>
          <w:rStyle w:val="Enfasicorsivo"/>
        </w:rPr>
        <w:t>Le disposizioni di cui alla presente lettera sono facoltative nei condomini o gli edifici polifunzionali ove alla data di entrata in vigore della presente disposizione si sia già provveduto all'installazione dei dispositivi di cui al presente comma e si sia già provveduto alla relativa suddivisione delle spese</w:t>
      </w:r>
      <w:proofErr w:type="gramStart"/>
      <w:r>
        <w:t>»</w:t>
      </w:r>
      <w:proofErr w:type="gramEnd"/>
      <w:r>
        <w:t>.</w:t>
      </w:r>
    </w:p>
    <w:p w:rsidR="00171E82" w:rsidRDefault="00171E82" w:rsidP="00171E82">
      <w:pPr>
        <w:pStyle w:val="NormaleWeb"/>
      </w:pPr>
      <w:proofErr w:type="gramStart"/>
      <w:r>
        <w:t>Viene</w:t>
      </w:r>
      <w:proofErr w:type="gramEnd"/>
      <w:r>
        <w:t xml:space="preserve"> demandato ad un'apposita guida Enea l'onere di suggerire il </w:t>
      </w:r>
      <w:r>
        <w:rPr>
          <w:rStyle w:val="Enfasigrassetto"/>
          <w:rFonts w:eastAsiaTheme="majorEastAsia"/>
        </w:rPr>
        <w:t>miglior criterio di ripartizione delle spese</w:t>
      </w:r>
      <w:r>
        <w:t xml:space="preserve"> in funzione dei parametri che hanno una influenza sulla prestazione energetica, quali quelli climatici e l'anno di costruzione dell'edificio.</w:t>
      </w:r>
    </w:p>
    <w:p w:rsidR="00171E82" w:rsidRDefault="00171E82" w:rsidP="00171E82">
      <w:pPr>
        <w:pStyle w:val="NormaleWeb"/>
      </w:pPr>
      <w:r>
        <w:t xml:space="preserve">Ciò è particolarmente indicato qualora ci siano, tra le unità immobiliari costituenti il condominio, differenze di fabbisogno termico per metro quadro superiori al 50%, comprovate da </w:t>
      </w:r>
      <w:proofErr w:type="gramStart"/>
      <w:r>
        <w:t>apposita</w:t>
      </w:r>
      <w:proofErr w:type="gramEnd"/>
      <w:r>
        <w:t xml:space="preserve"> relazione asseverata.</w:t>
      </w:r>
    </w:p>
    <w:p w:rsidR="00171E82" w:rsidRDefault="00171E82" w:rsidP="00171E82">
      <w:pPr>
        <w:pStyle w:val="Titolo3"/>
      </w:pPr>
      <w:r>
        <w:t>La fatturazione dei consumi</w:t>
      </w:r>
    </w:p>
    <w:p w:rsidR="00171E82" w:rsidRDefault="00171E82" w:rsidP="00171E82">
      <w:pPr>
        <w:pStyle w:val="NormaleWeb"/>
      </w:pPr>
      <w:r>
        <w:t xml:space="preserve">Secondo la nuova normativa, le informazioni sulla </w:t>
      </w:r>
      <w:r>
        <w:rPr>
          <w:rStyle w:val="Enfasigrassetto"/>
          <w:rFonts w:eastAsiaTheme="majorEastAsia"/>
        </w:rPr>
        <w:t>fatturazione dei consumi</w:t>
      </w:r>
      <w:r>
        <w:t xml:space="preserve"> devono essere fornite al cliente finale almeno </w:t>
      </w:r>
      <w:r>
        <w:rPr>
          <w:rStyle w:val="Enfasigrassetto"/>
          <w:rFonts w:eastAsiaTheme="majorEastAsia"/>
        </w:rPr>
        <w:t>ogni due mesi</w:t>
      </w:r>
      <w:proofErr w:type="gramStart"/>
      <w:r>
        <w:t xml:space="preserve"> ,</w:t>
      </w:r>
      <w:proofErr w:type="gramEnd"/>
      <w:r>
        <w:t xml:space="preserve"> e devono basarsi sul consumo effettivo oppure sulle letture del </w:t>
      </w:r>
      <w:proofErr w:type="spellStart"/>
      <w:r>
        <w:t>contabilizzatore</w:t>
      </w:r>
      <w:proofErr w:type="spellEnd"/>
      <w:r>
        <w:t>.</w:t>
      </w:r>
    </w:p>
    <w:p w:rsidR="00171E82" w:rsidRDefault="00171E82" w:rsidP="00171E82">
      <w:pPr>
        <w:pStyle w:val="NormaleWeb"/>
      </w:pPr>
      <w:r>
        <w:t>Responsabile della fatturazione dei consumi è l'</w:t>
      </w:r>
      <w:r>
        <w:rPr>
          <w:rStyle w:val="Enfasigrassetto"/>
          <w:rFonts w:eastAsiaTheme="majorEastAsia"/>
        </w:rPr>
        <w:t>amministratore condominiale</w:t>
      </w:r>
      <w:r>
        <w:t xml:space="preserve"> o, in alternativa, altro soggetto individuato dagli utenti. A quest'ultimo è affidato il compito di garantire agli utenti, nel totale rispetto della sicurezza informatica, la possibilità di ricevere gratuitamente informazioni sui propri </w:t>
      </w:r>
      <w:hyperlink r:id="rId8" w:history="1">
        <w:r>
          <w:rPr>
            <w:rStyle w:val="Enfasigrassetto"/>
            <w:rFonts w:eastAsiaTheme="majorEastAsia"/>
            <w:color w:val="0000FF"/>
            <w:u w:val="single"/>
          </w:rPr>
          <w:t>consumi</w:t>
        </w:r>
      </w:hyperlink>
      <w:r>
        <w:t xml:space="preserve"> energetici e sulle informazioni di fatturazione.</w:t>
      </w:r>
    </w:p>
    <w:p w:rsidR="00171E82" w:rsidRDefault="00171E82" w:rsidP="00171E82">
      <w:pPr>
        <w:pStyle w:val="Titolo3"/>
      </w:pPr>
      <w:r>
        <w:t>Contatori leggibili da remoto</w:t>
      </w:r>
    </w:p>
    <w:p w:rsidR="00171E82" w:rsidRDefault="00171E82" w:rsidP="00171E82">
      <w:pPr>
        <w:pStyle w:val="NormaleWeb"/>
      </w:pPr>
      <w:r>
        <w:t xml:space="preserve">Il nuovo decreto impone che tutti i </w:t>
      </w:r>
      <w:r>
        <w:rPr>
          <w:rStyle w:val="Enfasigrassetto"/>
          <w:rFonts w:eastAsiaTheme="majorEastAsia"/>
        </w:rPr>
        <w:t>contatori di fornitura</w:t>
      </w:r>
      <w:proofErr w:type="gramStart"/>
      <w:r>
        <w:t xml:space="preserve"> ,</w:t>
      </w:r>
      <w:proofErr w:type="gramEnd"/>
      <w:r>
        <w:t xml:space="preserve"> i </w:t>
      </w:r>
      <w:proofErr w:type="spellStart"/>
      <w:r>
        <w:t>sottocontatori</w:t>
      </w:r>
      <w:proofErr w:type="spellEnd"/>
      <w:r>
        <w:t xml:space="preserve"> e i sistemi di contabilizzazione installati dopo il 25 ottobre 2020 siano </w:t>
      </w:r>
      <w:r>
        <w:rPr>
          <w:rStyle w:val="Enfasigrassetto"/>
          <w:rFonts w:eastAsiaTheme="majorEastAsia"/>
        </w:rPr>
        <w:t>leggibili da remoto</w:t>
      </w:r>
      <w:r>
        <w:t xml:space="preserve"> .</w:t>
      </w:r>
    </w:p>
    <w:p w:rsidR="00171E82" w:rsidRDefault="00171E82" w:rsidP="00171E82">
      <w:pPr>
        <w:pStyle w:val="NormaleWeb"/>
      </w:pPr>
      <w:r>
        <w:t xml:space="preserve">Ad ogni modo, </w:t>
      </w:r>
      <w:proofErr w:type="gramStart"/>
      <w:r>
        <w:t>a partire dal</w:t>
      </w:r>
      <w:proofErr w:type="gramEnd"/>
      <w:r>
        <w:t xml:space="preserve"> 1 gennaio 2027 tutti gli elementi utilizzati per la misurazione dell'energia all'interno del sistema di contabilizzazione devono essere dotati di dispositivi che ne consentono la telelettura.</w:t>
      </w:r>
    </w:p>
    <w:p w:rsidR="00171E82" w:rsidRDefault="00171E82" w:rsidP="00171E82">
      <w:pPr>
        <w:pStyle w:val="Titolo3"/>
      </w:pPr>
      <w:r>
        <w:t>Interventi di riqualificazione energetica</w:t>
      </w:r>
    </w:p>
    <w:p w:rsidR="00171E82" w:rsidRDefault="00171E82" w:rsidP="00171E82">
      <w:pPr>
        <w:pStyle w:val="NormaleWeb"/>
      </w:pPr>
      <w:r>
        <w:t xml:space="preserve">Infine, l'art. </w:t>
      </w:r>
      <w:proofErr w:type="gramStart"/>
      <w:r>
        <w:t xml:space="preserve">13 del d. </w:t>
      </w:r>
      <w:proofErr w:type="spellStart"/>
      <w:r>
        <w:t>lgs</w:t>
      </w:r>
      <w:proofErr w:type="spellEnd"/>
      <w:r>
        <w:t>. n. 73/2020, abrogando il comma sesto e sostituendo il comma settimo dell'art</w:t>
      </w:r>
      <w:proofErr w:type="gramEnd"/>
      <w:r>
        <w:t xml:space="preserve">. 14 del D. </w:t>
      </w:r>
      <w:proofErr w:type="spellStart"/>
      <w:r>
        <w:t>Lgs</w:t>
      </w:r>
      <w:proofErr w:type="spellEnd"/>
      <w:r>
        <w:t xml:space="preserve">. n. 102/2014, prevede che, nel caso </w:t>
      </w:r>
      <w:proofErr w:type="gramStart"/>
      <w:r>
        <w:t xml:space="preserve">di </w:t>
      </w:r>
      <w:proofErr w:type="gramEnd"/>
      <w:r>
        <w:rPr>
          <w:rStyle w:val="Enfasigrassetto"/>
          <w:rFonts w:eastAsiaTheme="majorEastAsia"/>
        </w:rPr>
        <w:t>interventi di manutenzione straordinaria</w:t>
      </w:r>
      <w:r>
        <w:t xml:space="preserve"> , restauro e </w:t>
      </w:r>
      <w:r>
        <w:rPr>
          <w:rStyle w:val="Enfasigrassetto"/>
          <w:rFonts w:eastAsiaTheme="majorEastAsia"/>
        </w:rPr>
        <w:t>ristrutturazione edilizia</w:t>
      </w:r>
      <w:r>
        <w:t xml:space="preserve"> , il maggior spessore delle murature esterne e degli elementi di chiusura superiori ed inferiori, necessario per ottenere una riduzione minima del 10% dei limiti di </w:t>
      </w:r>
      <w:proofErr w:type="spellStart"/>
      <w:r>
        <w:t>trasmittanza</w:t>
      </w:r>
      <w:proofErr w:type="spellEnd"/>
      <w:r>
        <w:t xml:space="preserve"> previsti dal D. </w:t>
      </w:r>
      <w:proofErr w:type="spellStart"/>
      <w:r>
        <w:t>Leg.vo</w:t>
      </w:r>
      <w:proofErr w:type="spellEnd"/>
      <w:r>
        <w:t xml:space="preserve"> 19/08/2005, n. 192, non è considerato nei computi per la </w:t>
      </w:r>
      <w:r>
        <w:rPr>
          <w:rStyle w:val="Enfasigrassetto"/>
          <w:rFonts w:eastAsiaTheme="majorEastAsia"/>
        </w:rPr>
        <w:t>determinazione dei volumi</w:t>
      </w:r>
      <w:r>
        <w:t xml:space="preserve"> , delle altezze, delle superfici e dei rapporti di copertura.</w:t>
      </w:r>
    </w:p>
    <w:p w:rsidR="00171E82" w:rsidRDefault="00171E82" w:rsidP="00171E82">
      <w:pPr>
        <w:pStyle w:val="NormaleWeb"/>
      </w:pPr>
      <w:r>
        <w:t xml:space="preserve">Entro i limiti del maggior spessore di cui sopra, è permesso derogare, nell'ambito delle pertinenti procedure di rilascio dei </w:t>
      </w:r>
      <w:r>
        <w:rPr>
          <w:rStyle w:val="Enfasigrassetto"/>
          <w:rFonts w:eastAsiaTheme="majorEastAsia"/>
        </w:rPr>
        <w:t>titoli abitativi</w:t>
      </w:r>
      <w:r>
        <w:t xml:space="preserve"> di cui al Testo unico in materia di edilizi, a quanto previsto dalle normative nazionali, regionali o dai regolamenti edilizi comunali, in merito alle </w:t>
      </w:r>
      <w:r>
        <w:rPr>
          <w:rStyle w:val="Enfasigrassetto"/>
          <w:rFonts w:eastAsiaTheme="majorEastAsia"/>
        </w:rPr>
        <w:t>distanze minime tra edifici</w:t>
      </w:r>
      <w:proofErr w:type="gramStart"/>
      <w:r>
        <w:t xml:space="preserve"> ,</w:t>
      </w:r>
      <w:proofErr w:type="gramEnd"/>
      <w:r>
        <w:t xml:space="preserve"> alle distanze minime dai confini di proprietà, alle distanze minime di protezione del nastro stradale e ferroviario, nonché alle altezze massime degli edifici.</w:t>
      </w:r>
    </w:p>
    <w:p w:rsidR="00171E82" w:rsidRDefault="00171E82" w:rsidP="00171E82">
      <w:pPr>
        <w:pStyle w:val="NormaleWeb"/>
      </w:pPr>
      <w:r>
        <w:t>Le deroghe vanno esercitate nel rispetto delle distanze minime riportate nel codice civile.</w:t>
      </w:r>
      <w:bookmarkStart w:id="0" w:name="_GoBack"/>
      <w:bookmarkEnd w:id="0"/>
    </w:p>
    <w:p w:rsidR="00171E82" w:rsidRDefault="00171E82" w:rsidP="00171E82">
      <w:r>
        <w:lastRenderedPageBreak/>
        <w:br/>
      </w:r>
    </w:p>
    <w:p w:rsidR="00171E82" w:rsidRPr="00171E82" w:rsidRDefault="00171E82" w:rsidP="00171E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</w:p>
    <w:p w:rsidR="00D04444" w:rsidRDefault="00D04444" w:rsidP="00171E82">
      <w:pPr>
        <w:jc w:val="center"/>
      </w:pPr>
    </w:p>
    <w:sectPr w:rsidR="00D04444" w:rsidSect="00CE699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82"/>
    <w:rsid w:val="00171E82"/>
    <w:rsid w:val="00574CA5"/>
    <w:rsid w:val="00915915"/>
    <w:rsid w:val="00CE6994"/>
    <w:rsid w:val="00D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71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1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E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1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1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1E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1E82"/>
    <w:rPr>
      <w:color w:val="0000FF"/>
      <w:u w:val="single"/>
    </w:rPr>
  </w:style>
  <w:style w:type="paragraph" w:customStyle="1" w:styleId="authorcontent">
    <w:name w:val="author_content"/>
    <w:basedOn w:val="Normale"/>
    <w:rsid w:val="001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71E8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71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1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1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1E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1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1E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1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1E8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71E82"/>
    <w:rPr>
      <w:color w:val="0000FF"/>
      <w:u w:val="single"/>
    </w:rPr>
  </w:style>
  <w:style w:type="paragraph" w:customStyle="1" w:styleId="authorcontent">
    <w:name w:val="author_content"/>
    <w:basedOn w:val="Normale"/>
    <w:rsid w:val="00171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71E8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1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1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dominioweb.com/lettura-ripartitore-di-calore-iva-applicabile.17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dominioweb.com/norma-uni-impianto-riscaldamento.152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dominioweb.com/i-contabilizzatori-di-calore-devono-essere-leggibili-da-remoto-altrimenti.15455" TargetMode="External"/><Relationship Id="rId5" Type="http://schemas.openxmlformats.org/officeDocument/2006/relationships/hyperlink" Target="https://www.gazzettaufficiale.it/eli/id/2020/07/14/20G00093/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FrankPC</dc:creator>
  <cp:lastModifiedBy>FrankPC</cp:lastModifiedBy>
  <cp:revision>1</cp:revision>
  <dcterms:created xsi:type="dcterms:W3CDTF">2020-08-03T13:56:00Z</dcterms:created>
  <dcterms:modified xsi:type="dcterms:W3CDTF">2020-08-03T13:59:00Z</dcterms:modified>
</cp:coreProperties>
</file>