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C6" w:rsidRPr="004161C6" w:rsidRDefault="004161C6" w:rsidP="004161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4161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Lavori edili in condominio, è obbligatorio nominare un direttore dei lavori?</w:t>
      </w:r>
    </w:p>
    <w:p w:rsidR="004161C6" w:rsidRPr="004161C6" w:rsidRDefault="004161C6" w:rsidP="004161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4161C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Lavori in condominio, quando è obbligatoria la nomina di un direttore dei lavori?</w:t>
      </w:r>
    </w:p>
    <w:p w:rsidR="004161C6" w:rsidRPr="004161C6" w:rsidRDefault="004161C6" w:rsidP="004161C6">
      <w:pPr>
        <w:pStyle w:val="NormaleWeb"/>
        <w:rPr>
          <w:rFonts w:eastAsia="Times New Roman"/>
          <w:lang w:eastAsia="it-IT"/>
        </w:rPr>
      </w:pPr>
      <w:r w:rsidRPr="004161C6">
        <w:rPr>
          <w:rFonts w:eastAsia="Times New Roman"/>
          <w:color w:val="000000"/>
          <w:lang w:eastAsia="it-IT"/>
        </w:rPr>
        <w:br/>
      </w:r>
      <w:r w:rsidRPr="004161C6">
        <w:rPr>
          <w:rFonts w:eastAsia="Times New Roman"/>
          <w:lang w:eastAsia="it-IT"/>
        </w:rPr>
        <w:t xml:space="preserve">Quando l'amministratore – nei casi previsti dalla legge – ordinari lavori edili sulle parti comuni o quando – più comunemente – è l'assemblea a deliberarli, è necessaria la nomina di un </w:t>
      </w:r>
      <w:r w:rsidRPr="004161C6">
        <w:rPr>
          <w:rFonts w:eastAsia="Times New Roman"/>
          <w:b/>
          <w:bCs/>
          <w:lang w:eastAsia="it-IT"/>
        </w:rPr>
        <w:t>direttore dei lavori</w:t>
      </w:r>
      <w:r w:rsidRPr="004161C6">
        <w:rPr>
          <w:rFonts w:eastAsia="Times New Roman"/>
          <w:lang w:eastAsia="it-IT"/>
        </w:rPr>
        <w:t>?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Partiamo dalla definizione di direttore dei lavori che non ha natura legislativa.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direttore dei lavori è “</w:t>
      </w:r>
      <w:r w:rsidRPr="004161C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un rappresentante del committente con riferimento alle manifestazioni di volontà contenute in ambito strettamente tecnico, con poteri d'ingerenza, pari a quelli del committente, finalizzati alla buona realizzazione dei lavori</w:t>
      </w: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(Caringella – De Marzo, </w:t>
      </w:r>
      <w:r w:rsidRPr="004161C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Manuale di diritto civile</w:t>
      </w: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Giuffré</w:t>
      </w:r>
      <w:proofErr w:type="spellEnd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2007).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Egli, una volta accettato l'incarico, assume verso il proprio rappresentato l'impegno di seguire, dirigere e vigilare sullo svolgimento dei lavori.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L'obbligo così assunto, secondo pacifica giurisprudenza, rappresenta un'obbligazione di mezzo (tra le varie, </w:t>
      </w:r>
      <w:proofErr w:type="spellStart"/>
      <w:r w:rsidRPr="004161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Cass</w:t>
      </w:r>
      <w:proofErr w:type="spellEnd"/>
      <w:r w:rsidRPr="004161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 13 aprile 2015 n. 7373</w:t>
      </w: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pur dovendosi valutare la condotta, nel caso di contestazioni, in modo particolarmente rigoroso, data la diligenza che ci si deve aspettare da un professionista nell'adempimento del proprio incarico </w:t>
      </w:r>
      <w:proofErr w:type="gramStart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art. 1176 c.c.</w:t>
      </w:r>
      <w:proofErr w:type="gramStart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proofErr w:type="gramEnd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Inquadrata, in sintesi e per concetti generali, </w:t>
      </w:r>
      <w:hyperlink r:id="rId6" w:history="1">
        <w:r w:rsidRPr="004161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figura, compiti e responsabilità del direttore dei lavori</w:t>
        </w:r>
      </w:hyperlink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utile adesso vedere se e quando la sua presenza è obbligatoria.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Risposta netta e certa: la nomina del direttore dei lavori, nell'ambito di un appalto privato (com'è quello che riguarda il condominio), </w:t>
      </w:r>
      <w:r w:rsidRPr="004161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non è mai obbligatoria</w:t>
      </w: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La figura tecnica, cui il committente può fare ricorso, rappresenta un'</w:t>
      </w:r>
      <w:proofErr w:type="gramStart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opzione</w:t>
      </w:r>
      <w:proofErr w:type="gramEnd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, sempre percorribile, ma mai necessaria.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iniziare o resistere in una causa di € 2.000,00 è obbligatorio rivolgersi </w:t>
      </w:r>
      <w:proofErr w:type="gramStart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ad</w:t>
      </w:r>
      <w:proofErr w:type="gramEnd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avvocato, per seguire la esecuzione di lavori di ristrutturazione di un edificio, magari per decine di migliaia di euro, no.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prassi ci dice che il del </w:t>
      </w:r>
      <w:r w:rsidRPr="004161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direttore dei lavori</w:t>
      </w: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sovente nominato dall'assemblea proprio per </w:t>
      </w:r>
      <w:hyperlink r:id="rId7" w:history="1">
        <w:r w:rsidRPr="004161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vigilare</w:t>
        </w:r>
      </w:hyperlink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far fronte alle questioni che possono sorgere durante la esecuzione delle opere e che necessitano di cognizione tecnica per essere risolte nel modo migliore per il committente, modo che non sempre coincide con il più comodo/economico per la ditta.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Ciò chiarito è bene specificare un aspetto: è utile non confondere a figura del direttore dei lavori, con quelle previste e disciplinate dal </w:t>
      </w:r>
      <w:r w:rsidRPr="004161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decreto legislativo n. 81 del 2008</w:t>
      </w: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, altrimenti noto come testo unico in materia di salute e sicurezza nei luoghi di lavoro.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 questo decreto è previsto uno specifico Titolo, il Quarto, dedicato ai cantieri temporanei o mobili.</w:t>
      </w:r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Qui sono indicate delle figure la cui nomina diviene obbligatoria in ragione della tipologia di lavori da eseguire: il riferimento è al </w:t>
      </w:r>
      <w:r w:rsidRPr="004161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coordinatore in materia di sicurezza</w:t>
      </w: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salute durante la progettazione dell'opera (coordinatore per la progettazione dell'opera) </w:t>
      </w:r>
      <w:proofErr w:type="gramStart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in materia di sicurezza e di salute durante la realizzazione dell'opera (coordinatore per l'esecuzione dei lavori).</w:t>
      </w:r>
    </w:p>
    <w:p w:rsid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Queste figure, che </w:t>
      </w:r>
      <w:r w:rsidRPr="004161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possono coincidere con quella del direttore dei lavori</w:t>
      </w:r>
      <w:r w:rsidRPr="004161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sono obbligatorie al ricorrere di determinate condizioni (es. presenza anche non contemporanea di più imprese nel cantiere) e alla loro mancanza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segue l'irrogazione di sanzioni.</w:t>
      </w:r>
      <w:bookmarkStart w:id="0" w:name="_GoBack"/>
      <w:bookmarkEnd w:id="0"/>
    </w:p>
    <w:p w:rsidR="004161C6" w:rsidRPr="004161C6" w:rsidRDefault="004161C6" w:rsidP="00416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Fonte: </w:t>
      </w:r>
      <w:r w:rsidRPr="004161C6"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it-IT"/>
        </w:rPr>
        <w:t>http://www.condominioweb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u w:val="single"/>
          <w:lang w:eastAsia="it-IT"/>
        </w:rPr>
        <w:t>.com</w:t>
      </w:r>
    </w:p>
    <w:p w:rsidR="004161C6" w:rsidRPr="004161C6" w:rsidRDefault="004161C6" w:rsidP="004161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53F94" w:rsidRDefault="00053F94"/>
    <w:sectPr w:rsidR="00053F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6998"/>
    <w:multiLevelType w:val="multilevel"/>
    <w:tmpl w:val="9832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C6"/>
    <w:rsid w:val="00053F94"/>
    <w:rsid w:val="0041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61C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61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dominioweb.com/diretto-dei-lavori-responsabilita-vizi.13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dominioweb.com/il-direttore-dei-lavori-anche-se-non-puo-essere-considerato-lesecutore-materiale.9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FrankPC</dc:creator>
  <cp:lastModifiedBy>FrankPC</cp:lastModifiedBy>
  <cp:revision>1</cp:revision>
  <dcterms:created xsi:type="dcterms:W3CDTF">2017-11-23T09:34:00Z</dcterms:created>
  <dcterms:modified xsi:type="dcterms:W3CDTF">2017-11-23T09:37:00Z</dcterms:modified>
</cp:coreProperties>
</file>