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7E" w:rsidRDefault="008C727E" w:rsidP="008C727E">
      <w:pPr>
        <w:spacing w:before="100" w:beforeAutospacing="1" w:after="100" w:afterAutospacing="1" w:line="240" w:lineRule="auto"/>
        <w:outlineLvl w:val="1"/>
        <w:rPr>
          <w:rFonts w:ascii="Times New Roman" w:eastAsia="Times New Roman" w:hAnsi="Times New Roman" w:cs="Times New Roman"/>
          <w:b/>
          <w:bCs/>
          <w:color w:val="444444"/>
          <w:sz w:val="28"/>
          <w:szCs w:val="28"/>
          <w:lang w:eastAsia="it-IT"/>
        </w:rPr>
      </w:pPr>
    </w:p>
    <w:p w:rsidR="008C727E" w:rsidRDefault="008C727E" w:rsidP="008C727E">
      <w:pPr>
        <w:spacing w:before="100" w:beforeAutospacing="1" w:after="100" w:afterAutospacing="1" w:line="240" w:lineRule="auto"/>
        <w:outlineLvl w:val="1"/>
        <w:rPr>
          <w:rFonts w:ascii="Times New Roman" w:eastAsia="Times New Roman" w:hAnsi="Times New Roman" w:cs="Times New Roman"/>
          <w:b/>
          <w:bCs/>
          <w:color w:val="444444"/>
          <w:sz w:val="28"/>
          <w:szCs w:val="28"/>
          <w:lang w:eastAsia="it-IT"/>
        </w:rPr>
      </w:pPr>
    </w:p>
    <w:p w:rsidR="00B10BB3" w:rsidRDefault="00B10BB3" w:rsidP="008C727E">
      <w:pPr>
        <w:spacing w:before="100" w:beforeAutospacing="1" w:after="100" w:afterAutospacing="1" w:line="240" w:lineRule="auto"/>
        <w:outlineLvl w:val="1"/>
        <w:rPr>
          <w:rFonts w:ascii="Times New Roman" w:eastAsia="Times New Roman" w:hAnsi="Times New Roman" w:cs="Times New Roman"/>
          <w:b/>
          <w:bCs/>
          <w:color w:val="444444"/>
          <w:sz w:val="28"/>
          <w:szCs w:val="28"/>
          <w:lang w:eastAsia="it-IT"/>
        </w:rPr>
      </w:pPr>
    </w:p>
    <w:p w:rsidR="00B10BB3" w:rsidRDefault="00B10BB3" w:rsidP="008C727E">
      <w:pPr>
        <w:spacing w:before="100" w:beforeAutospacing="1" w:after="100" w:afterAutospacing="1" w:line="240" w:lineRule="auto"/>
        <w:outlineLvl w:val="1"/>
        <w:rPr>
          <w:rFonts w:ascii="Times New Roman" w:eastAsia="Times New Roman" w:hAnsi="Times New Roman" w:cs="Times New Roman"/>
          <w:b/>
          <w:bCs/>
          <w:color w:val="444444"/>
          <w:sz w:val="28"/>
          <w:szCs w:val="28"/>
          <w:lang w:eastAsia="it-IT"/>
        </w:rPr>
      </w:pPr>
    </w:p>
    <w:p w:rsidR="00B10BB3" w:rsidRDefault="00B10BB3" w:rsidP="00B10BB3">
      <w:pPr>
        <w:pStyle w:val="Titolo1"/>
      </w:pPr>
      <w:r>
        <w:t>La coloritura della facciata condominiale: procedure ed adempimenti</w:t>
      </w:r>
    </w:p>
    <w:p w:rsidR="00B10BB3" w:rsidRPr="00B10BB3" w:rsidRDefault="00B10BB3" w:rsidP="00B10BB3">
      <w:pPr>
        <w:rPr>
          <w:rFonts w:ascii="Times New Roman" w:eastAsia="Times New Roman" w:hAnsi="Times New Roman" w:cs="Times New Roman"/>
          <w:sz w:val="24"/>
          <w:szCs w:val="24"/>
          <w:lang w:eastAsia="it-IT"/>
        </w:rPr>
      </w:pPr>
      <w:r>
        <w:rPr>
          <w:color w:val="000000"/>
        </w:rPr>
        <w:br/>
      </w:r>
      <w:r w:rsidRPr="00B10BB3">
        <w:rPr>
          <w:rFonts w:ascii="Times New Roman" w:eastAsia="Times New Roman" w:hAnsi="Times New Roman" w:cs="Times New Roman"/>
          <w:b/>
          <w:bCs/>
          <w:sz w:val="24"/>
          <w:szCs w:val="24"/>
          <w:lang w:eastAsia="it-IT"/>
        </w:rPr>
        <w:t>Identificativi e funzione della facciata</w:t>
      </w:r>
      <w:r w:rsidRPr="00B10BB3">
        <w:rPr>
          <w:rFonts w:ascii="Times New Roman" w:eastAsia="Times New Roman" w:hAnsi="Times New Roman" w:cs="Times New Roman"/>
          <w:sz w:val="24"/>
          <w:szCs w:val="24"/>
          <w:lang w:eastAsia="it-IT"/>
        </w:rPr>
        <w:br/>
        <w:t> </w:t>
      </w:r>
      <w:r w:rsidRPr="00B10BB3">
        <w:rPr>
          <w:rFonts w:ascii="Times New Roman" w:eastAsia="Times New Roman" w:hAnsi="Times New Roman" w:cs="Times New Roman"/>
          <w:sz w:val="24"/>
          <w:szCs w:val="24"/>
          <w:lang w:eastAsia="it-IT"/>
        </w:rPr>
        <w:br/>
        <w:t xml:space="preserve">La facciata comunemente viene identificata nella parte più esterna dell’edificio. Rientra nella categoria dei </w:t>
      </w:r>
      <w:r w:rsidRPr="00B10BB3">
        <w:rPr>
          <w:rFonts w:ascii="Times New Roman" w:eastAsia="Times New Roman" w:hAnsi="Times New Roman" w:cs="Times New Roman"/>
          <w:i/>
          <w:iCs/>
          <w:sz w:val="24"/>
          <w:szCs w:val="24"/>
          <w:lang w:eastAsia="it-IT"/>
        </w:rPr>
        <w:t>muri maestri</w:t>
      </w:r>
      <w:r w:rsidRPr="00B10BB3">
        <w:rPr>
          <w:rFonts w:ascii="Times New Roman" w:eastAsia="Times New Roman" w:hAnsi="Times New Roman" w:cs="Times New Roman"/>
          <w:sz w:val="24"/>
          <w:szCs w:val="24"/>
          <w:lang w:eastAsia="it-IT"/>
        </w:rPr>
        <w:t xml:space="preserve"> ed è oggetto di proprietà comune tra tutti i condomini, in quanto costituisce una delle strutture essenziali ai fini della esistenza dell’edificio. La facciata può considerarsi un </w:t>
      </w:r>
      <w:r w:rsidRPr="00B10BB3">
        <w:rPr>
          <w:rFonts w:ascii="Times New Roman" w:eastAsia="Times New Roman" w:hAnsi="Times New Roman" w:cs="Times New Roman"/>
          <w:i/>
          <w:iCs/>
          <w:sz w:val="24"/>
          <w:szCs w:val="24"/>
          <w:lang w:eastAsia="it-IT"/>
        </w:rPr>
        <w:t>parte comune necessaria</w:t>
      </w:r>
      <w:r w:rsidRPr="00B10BB3">
        <w:rPr>
          <w:rFonts w:ascii="Times New Roman" w:eastAsia="Times New Roman" w:hAnsi="Times New Roman" w:cs="Times New Roman"/>
          <w:sz w:val="24"/>
          <w:szCs w:val="24"/>
          <w:lang w:eastAsia="it-IT"/>
        </w:rPr>
        <w:t xml:space="preserve"> in quanto svolge una duplice funzione: quella </w:t>
      </w:r>
      <w:proofErr w:type="spellStart"/>
      <w:r w:rsidRPr="00B10BB3">
        <w:rPr>
          <w:rFonts w:ascii="Times New Roman" w:eastAsia="Times New Roman" w:hAnsi="Times New Roman" w:cs="Times New Roman"/>
          <w:sz w:val="24"/>
          <w:szCs w:val="24"/>
          <w:lang w:eastAsia="it-IT"/>
        </w:rPr>
        <w:t>conformativa-strutturale</w:t>
      </w:r>
      <w:proofErr w:type="spellEnd"/>
      <w:r w:rsidRPr="00B10BB3">
        <w:rPr>
          <w:rFonts w:ascii="Times New Roman" w:eastAsia="Times New Roman" w:hAnsi="Times New Roman" w:cs="Times New Roman"/>
          <w:sz w:val="24"/>
          <w:szCs w:val="24"/>
          <w:lang w:eastAsia="it-IT"/>
        </w:rPr>
        <w:t xml:space="preserve"> del fabbricato ed anche di destinazione rappresentativa ed estetica dello stesso.</w:t>
      </w:r>
      <w:r w:rsidRPr="00B10BB3">
        <w:rPr>
          <w:rFonts w:ascii="Times New Roman" w:eastAsia="Times New Roman" w:hAnsi="Times New Roman" w:cs="Times New Roman"/>
          <w:sz w:val="24"/>
          <w:szCs w:val="24"/>
          <w:lang w:eastAsia="it-IT"/>
        </w:rPr>
        <w:br/>
        <w:t> </w:t>
      </w:r>
      <w:r w:rsidRPr="00B10BB3">
        <w:rPr>
          <w:rFonts w:ascii="Times New Roman" w:eastAsia="Times New Roman" w:hAnsi="Times New Roman" w:cs="Times New Roman"/>
          <w:sz w:val="24"/>
          <w:szCs w:val="24"/>
          <w:lang w:eastAsia="it-IT"/>
        </w:rPr>
        <w:br/>
        <w:t>La facciata di prospetto, rientra tra gli elementi strutturali ed afferisce la parte più esterna dell’edificio. Il legislatore nell’art. 1117 del codice civile la elenca esplicitamente tra i beni comuni, salvo patto contrario. La giurisprudenza ha avuto modo di chiarire che essa rientra nella categoria dei muri maestri, ex art. 1117 comma 1 cod. civ., e forma oggetto di proprietà comune dei diversi piani o porzione di piani riuniti in condominio (Cass. 298/1997; Trib. Torino, 3 giugno 1987). La legge n.220/2102, che entrerà in vigore il prossimo 18 giugno, ha espressamente compreso tale manufatto nelle parti comuni.</w:t>
      </w:r>
      <w:r w:rsidRPr="00B10BB3">
        <w:rPr>
          <w:rFonts w:ascii="Times New Roman" w:eastAsia="Times New Roman" w:hAnsi="Times New Roman" w:cs="Times New Roman"/>
          <w:sz w:val="24"/>
          <w:szCs w:val="24"/>
          <w:lang w:eastAsia="it-IT"/>
        </w:rPr>
        <w:br/>
        <w:t> </w:t>
      </w:r>
      <w:r w:rsidRPr="00B10BB3">
        <w:rPr>
          <w:rFonts w:ascii="Times New Roman" w:eastAsia="Times New Roman" w:hAnsi="Times New Roman" w:cs="Times New Roman"/>
          <w:sz w:val="24"/>
          <w:szCs w:val="24"/>
          <w:lang w:eastAsia="it-IT"/>
        </w:rPr>
        <w:br/>
        <w:t>In base alla sua conformazione, la facciata imprime l’edificio di un determinato decoro architettonico, in quanto rappresenta l’insieme delle linee e delle strutture ornamentali che costituiscono la nota dominante dello stabile e determinano una fisionomia ed un particolare pregio artistico, dando ad esso una specifica identità (Trib. Roma Sez. V, 22-09-2011). Per tali motivi devono così ritenersi vietati e quindi lesivi, tutti quegli interventi sulla facciata che possano comportare una disarmonia dell’insieme ed un conseguente deprezzamento dell’intero stabile. Alcuni limiti più stringenti possono essere contenuti in un regolamento di condominio di natura contrattuale, il quale ben può prevedere norme che vietano qualsiasi cambiamento della facciata e dell’aspetto generale dell’edificio rispetto a quello esistente al momento della sua costruzione. In tali casi l’amministratore del condominio è legittimato, senza necessità di una specifica deliberazione assembleare, ad instaurare un giudizio per la rimozione di finestre aperte abusivamente, in contrasto con il regolamento, sulla facciata dello stabile condominiale</w:t>
      </w:r>
      <w:r w:rsidRPr="00B10BB3">
        <w:rPr>
          <w:rFonts w:ascii="Times New Roman" w:eastAsia="Times New Roman" w:hAnsi="Times New Roman" w:cs="Times New Roman"/>
          <w:b/>
          <w:bCs/>
          <w:sz w:val="24"/>
          <w:szCs w:val="24"/>
          <w:lang w:eastAsia="it-IT"/>
        </w:rPr>
        <w:t>,</w:t>
      </w:r>
      <w:r w:rsidRPr="00B10BB3">
        <w:rPr>
          <w:rFonts w:ascii="Times New Roman" w:eastAsia="Times New Roman" w:hAnsi="Times New Roman" w:cs="Times New Roman"/>
          <w:sz w:val="24"/>
          <w:szCs w:val="24"/>
          <w:lang w:eastAsia="it-IT"/>
        </w:rPr>
        <w:t xml:space="preserve"> da taluni condomini</w:t>
      </w:r>
      <w:r w:rsidRPr="00B10BB3">
        <w:rPr>
          <w:rFonts w:ascii="Times New Roman" w:eastAsia="Times New Roman" w:hAnsi="Times New Roman" w:cs="Times New Roman"/>
          <w:b/>
          <w:bCs/>
          <w:i/>
          <w:iCs/>
          <w:sz w:val="24"/>
          <w:szCs w:val="24"/>
          <w:lang w:eastAsia="it-IT"/>
        </w:rPr>
        <w:t xml:space="preserve">, </w:t>
      </w:r>
      <w:r w:rsidRPr="00B10BB3">
        <w:rPr>
          <w:rFonts w:ascii="Times New Roman" w:eastAsia="Times New Roman" w:hAnsi="Times New Roman" w:cs="Times New Roman"/>
          <w:sz w:val="24"/>
          <w:szCs w:val="24"/>
          <w:lang w:eastAsia="it-IT"/>
        </w:rPr>
        <w:t>in quanto tale atto, essendo diretto a conservare il decoro architettonico dell’edificio contro ogni alterazione dell’estetica dello stesso, è finalizzato alla conservazione dei diritti inerenti alle parti comuni dell’edificio.(</w:t>
      </w:r>
      <w:proofErr w:type="spellStart"/>
      <w:r w:rsidRPr="00B10BB3">
        <w:rPr>
          <w:rFonts w:ascii="Times New Roman" w:eastAsia="Times New Roman" w:hAnsi="Times New Roman" w:cs="Times New Roman"/>
          <w:sz w:val="24"/>
          <w:szCs w:val="24"/>
          <w:lang w:eastAsia="it-IT"/>
        </w:rPr>
        <w:t>Cass</w:t>
      </w:r>
      <w:proofErr w:type="spellEnd"/>
      <w:r w:rsidRPr="00B10BB3">
        <w:rPr>
          <w:rFonts w:ascii="Times New Roman" w:eastAsia="Times New Roman" w:hAnsi="Times New Roman" w:cs="Times New Roman"/>
          <w:sz w:val="24"/>
          <w:szCs w:val="24"/>
          <w:lang w:eastAsia="it-IT"/>
        </w:rPr>
        <w:t>. civ. Sez. II, 17-06-2010, n. 14626).</w:t>
      </w:r>
      <w:r w:rsidRPr="00B10BB3">
        <w:rPr>
          <w:rFonts w:ascii="Times New Roman" w:eastAsia="Times New Roman" w:hAnsi="Times New Roman" w:cs="Times New Roman"/>
          <w:sz w:val="24"/>
          <w:szCs w:val="24"/>
          <w:lang w:eastAsia="it-IT"/>
        </w:rPr>
        <w:br/>
        <w:t> </w:t>
      </w:r>
      <w:r w:rsidRPr="00B10BB3">
        <w:rPr>
          <w:rFonts w:ascii="Times New Roman" w:eastAsia="Times New Roman" w:hAnsi="Times New Roman" w:cs="Times New Roman"/>
          <w:sz w:val="24"/>
          <w:szCs w:val="24"/>
          <w:lang w:eastAsia="it-IT"/>
        </w:rPr>
        <w:br/>
      </w:r>
      <w:r w:rsidRPr="00B10BB3">
        <w:rPr>
          <w:rFonts w:ascii="Times New Roman" w:eastAsia="Times New Roman" w:hAnsi="Times New Roman" w:cs="Times New Roman"/>
          <w:b/>
          <w:bCs/>
          <w:sz w:val="24"/>
          <w:szCs w:val="24"/>
          <w:lang w:eastAsia="it-IT"/>
        </w:rPr>
        <w:t xml:space="preserve">Gli adempimenti per la coloritura di edifici di particolare pregio artistico: i limiti </w:t>
      </w:r>
      <w:r w:rsidRPr="00B10BB3">
        <w:rPr>
          <w:rFonts w:ascii="Times New Roman" w:eastAsia="Times New Roman" w:hAnsi="Times New Roman" w:cs="Times New Roman"/>
          <w:b/>
          <w:bCs/>
          <w:sz w:val="24"/>
          <w:szCs w:val="24"/>
          <w:lang w:eastAsia="it-IT"/>
        </w:rPr>
        <w:lastRenderedPageBreak/>
        <w:t>dell’autorizzazione paesaggistica</w:t>
      </w:r>
      <w:r w:rsidRPr="00B10BB3">
        <w:rPr>
          <w:rFonts w:ascii="Times New Roman" w:eastAsia="Times New Roman" w:hAnsi="Times New Roman" w:cs="Times New Roman"/>
          <w:sz w:val="24"/>
          <w:szCs w:val="24"/>
          <w:lang w:eastAsia="it-IT"/>
        </w:rPr>
        <w:br/>
        <w:t> </w:t>
      </w:r>
      <w:r w:rsidRPr="00B10BB3">
        <w:rPr>
          <w:rFonts w:ascii="Times New Roman" w:eastAsia="Times New Roman" w:hAnsi="Times New Roman" w:cs="Times New Roman"/>
          <w:sz w:val="24"/>
          <w:szCs w:val="24"/>
          <w:lang w:eastAsia="it-IT"/>
        </w:rPr>
        <w:br/>
        <w:t>A seconda della differente tipologia di edificio, vi sono delle procedure diverse da seguire per effettuare la tinteggiatura della facciata. Gli edifici, se esposti alla pubblica vista, debbono soddisfare le esigenze di pubblico decoro e dell’estetica ambientale, sia per la tipologia dei materiali impiegati sulle facciate che per le tinteggiature e per gli eventuali apparati decorativi.</w:t>
      </w:r>
      <w:r w:rsidRPr="00B10BB3">
        <w:rPr>
          <w:rFonts w:ascii="Times New Roman" w:eastAsia="Times New Roman" w:hAnsi="Times New Roman" w:cs="Times New Roman"/>
          <w:sz w:val="24"/>
          <w:szCs w:val="24"/>
          <w:lang w:eastAsia="it-IT"/>
        </w:rPr>
        <w:br/>
        <w:t> </w:t>
      </w:r>
      <w:r w:rsidRPr="00B10BB3">
        <w:rPr>
          <w:rFonts w:ascii="Times New Roman" w:eastAsia="Times New Roman" w:hAnsi="Times New Roman" w:cs="Times New Roman"/>
          <w:sz w:val="24"/>
          <w:szCs w:val="24"/>
          <w:lang w:eastAsia="it-IT"/>
        </w:rPr>
        <w:br/>
        <w:t>In tale contesto le scelte operate dai condomini sul colore delle facciata del loro edificio sono molto limitate soprattutto se trattasi di un edificio posto in una determinata zona vincolata.</w:t>
      </w:r>
      <w:r w:rsidRPr="00B10BB3">
        <w:rPr>
          <w:rFonts w:ascii="Times New Roman" w:eastAsia="Times New Roman" w:hAnsi="Times New Roman" w:cs="Times New Roman"/>
          <w:sz w:val="24"/>
          <w:szCs w:val="24"/>
          <w:lang w:eastAsia="it-IT"/>
        </w:rPr>
        <w:br/>
        <w:t> </w:t>
      </w:r>
      <w:r w:rsidRPr="00B10BB3">
        <w:rPr>
          <w:rFonts w:ascii="Times New Roman" w:eastAsia="Times New Roman" w:hAnsi="Times New Roman" w:cs="Times New Roman"/>
          <w:sz w:val="24"/>
          <w:szCs w:val="24"/>
          <w:lang w:eastAsia="it-IT"/>
        </w:rPr>
        <w:br/>
        <w:t xml:space="preserve">Per gli interventi di coloritura delle facciate che modifichino l’aspetto esteriore degli edifici o delle loro pertinenze in </w:t>
      </w:r>
      <w:r w:rsidRPr="00B10BB3">
        <w:rPr>
          <w:rFonts w:ascii="Times New Roman" w:eastAsia="Times New Roman" w:hAnsi="Times New Roman" w:cs="Times New Roman"/>
          <w:i/>
          <w:iCs/>
          <w:sz w:val="24"/>
          <w:szCs w:val="24"/>
          <w:lang w:eastAsia="it-IT"/>
        </w:rPr>
        <w:t>zone soggette a tutela paesaggistica</w:t>
      </w:r>
      <w:r w:rsidRPr="00B10BB3">
        <w:rPr>
          <w:rFonts w:ascii="Times New Roman" w:eastAsia="Times New Roman" w:hAnsi="Times New Roman" w:cs="Times New Roman"/>
          <w:sz w:val="24"/>
          <w:szCs w:val="24"/>
          <w:lang w:eastAsia="it-IT"/>
        </w:rPr>
        <w:t xml:space="preserve"> (Parte III del </w:t>
      </w:r>
      <w:proofErr w:type="spellStart"/>
      <w:r w:rsidRPr="00B10BB3">
        <w:rPr>
          <w:rFonts w:ascii="Times New Roman" w:eastAsia="Times New Roman" w:hAnsi="Times New Roman" w:cs="Times New Roman"/>
          <w:sz w:val="24"/>
          <w:szCs w:val="24"/>
          <w:lang w:eastAsia="it-IT"/>
        </w:rPr>
        <w:t>D.Lgs.</w:t>
      </w:r>
      <w:proofErr w:type="spellEnd"/>
      <w:r w:rsidRPr="00B10BB3">
        <w:rPr>
          <w:rFonts w:ascii="Times New Roman" w:eastAsia="Times New Roman" w:hAnsi="Times New Roman" w:cs="Times New Roman"/>
          <w:sz w:val="24"/>
          <w:szCs w:val="24"/>
          <w:lang w:eastAsia="it-IT"/>
        </w:rPr>
        <w:t xml:space="preserve"> 42/2004), i proprietari, per conto del proprio amministratore, devono richiedere il rilascio dell’autorizzazione paesaggistica quando l’intervento ecceda i limiti della manutenzione straordinaria e alteri lo stato dei luoghi, secondo quanto stabilito dal </w:t>
      </w:r>
      <w:proofErr w:type="spellStart"/>
      <w:r w:rsidRPr="00B10BB3">
        <w:rPr>
          <w:rFonts w:ascii="Times New Roman" w:eastAsia="Times New Roman" w:hAnsi="Times New Roman" w:cs="Times New Roman"/>
          <w:sz w:val="24"/>
          <w:szCs w:val="24"/>
          <w:lang w:eastAsia="it-IT"/>
        </w:rPr>
        <w:t>D.Lgs.</w:t>
      </w:r>
      <w:proofErr w:type="spellEnd"/>
      <w:r w:rsidRPr="00B10BB3">
        <w:rPr>
          <w:rFonts w:ascii="Times New Roman" w:eastAsia="Times New Roman" w:hAnsi="Times New Roman" w:cs="Times New Roman"/>
          <w:sz w:val="24"/>
          <w:szCs w:val="24"/>
          <w:lang w:eastAsia="it-IT"/>
        </w:rPr>
        <w:t xml:space="preserve"> 42/2004. L’autorizzazione paesaggistica ha effetto anche quale nulla osta colore e viene rilasciata sulla base della prescritta relazione paesaggistica, accompagnata dalla </w:t>
      </w:r>
      <w:r w:rsidRPr="00B10BB3">
        <w:rPr>
          <w:rFonts w:ascii="Times New Roman" w:eastAsia="Times New Roman" w:hAnsi="Times New Roman" w:cs="Times New Roman"/>
          <w:i/>
          <w:iCs/>
          <w:sz w:val="24"/>
          <w:szCs w:val="24"/>
          <w:lang w:eastAsia="it-IT"/>
        </w:rPr>
        <w:t>scheda colore</w:t>
      </w:r>
      <w:r w:rsidRPr="00B10BB3">
        <w:rPr>
          <w:rFonts w:ascii="Times New Roman" w:eastAsia="Times New Roman" w:hAnsi="Times New Roman" w:cs="Times New Roman"/>
          <w:sz w:val="24"/>
          <w:szCs w:val="24"/>
          <w:lang w:eastAsia="it-IT"/>
        </w:rPr>
        <w:t xml:space="preserve"> preventivamente concordata con gli uffici della sezione Tutela e Pianificazione del Paesaggio. Per tutti gli altri interventi di coloritura delle facciate, i proprietari devono richiedere il rilascio del nulla osta colore, sia quando si mantengano le tinte, sia quando vengano modificate.</w:t>
      </w:r>
      <w:r w:rsidRPr="00B10BB3">
        <w:rPr>
          <w:rFonts w:ascii="Times New Roman" w:eastAsia="Times New Roman" w:hAnsi="Times New Roman" w:cs="Times New Roman"/>
          <w:sz w:val="24"/>
          <w:szCs w:val="24"/>
          <w:lang w:eastAsia="it-IT"/>
        </w:rPr>
        <w:br/>
        <w:t> </w:t>
      </w:r>
      <w:r w:rsidRPr="00B10BB3">
        <w:rPr>
          <w:rFonts w:ascii="Times New Roman" w:eastAsia="Times New Roman" w:hAnsi="Times New Roman" w:cs="Times New Roman"/>
          <w:sz w:val="24"/>
          <w:szCs w:val="24"/>
          <w:lang w:eastAsia="it-IT"/>
        </w:rPr>
        <w:br/>
      </w:r>
      <w:r w:rsidRPr="00B10BB3">
        <w:rPr>
          <w:rFonts w:ascii="Times New Roman" w:eastAsia="Times New Roman" w:hAnsi="Times New Roman" w:cs="Times New Roman"/>
          <w:b/>
          <w:bCs/>
          <w:sz w:val="24"/>
          <w:szCs w:val="24"/>
          <w:lang w:eastAsia="it-IT"/>
        </w:rPr>
        <w:t>Il Piano del Colore</w:t>
      </w:r>
      <w:r w:rsidRPr="00B10BB3">
        <w:rPr>
          <w:rFonts w:ascii="Times New Roman" w:eastAsia="Times New Roman" w:hAnsi="Times New Roman" w:cs="Times New Roman"/>
          <w:sz w:val="24"/>
          <w:szCs w:val="24"/>
          <w:lang w:eastAsia="it-IT"/>
        </w:rPr>
        <w:br/>
        <w:t> </w:t>
      </w:r>
      <w:r w:rsidRPr="00B10BB3">
        <w:rPr>
          <w:rFonts w:ascii="Times New Roman" w:eastAsia="Times New Roman" w:hAnsi="Times New Roman" w:cs="Times New Roman"/>
          <w:sz w:val="24"/>
          <w:szCs w:val="24"/>
          <w:lang w:eastAsia="it-IT"/>
        </w:rPr>
        <w:br/>
        <w:t>Il Piano del Colore organizza e stabilisce le norme e le procedure da seguire per la tinteggiatura degli edifici d’epoca al fine di riqualificare l’immagine della città. Tutte le operazioni inerenti la tinteggiatura di facciate verso via o verso cortili, androni e scale di interesse storico, portici e muri di cinta, sono soggette ad autorizzazione comunale.</w:t>
      </w:r>
      <w:r w:rsidRPr="00B10BB3">
        <w:rPr>
          <w:rFonts w:ascii="Times New Roman" w:eastAsia="Times New Roman" w:hAnsi="Times New Roman" w:cs="Times New Roman"/>
          <w:sz w:val="24"/>
          <w:szCs w:val="24"/>
          <w:lang w:eastAsia="it-IT"/>
        </w:rPr>
        <w:br/>
        <w:t> </w:t>
      </w:r>
      <w:r w:rsidRPr="00B10BB3">
        <w:rPr>
          <w:rFonts w:ascii="Times New Roman" w:eastAsia="Times New Roman" w:hAnsi="Times New Roman" w:cs="Times New Roman"/>
          <w:sz w:val="24"/>
          <w:szCs w:val="24"/>
          <w:lang w:eastAsia="it-IT"/>
        </w:rPr>
        <w:br/>
        <w:t>Il Piano del Colore prevede le scadenze entro le quali i proprietari degli edifici devono procedere al ripristino delle loro facciate. Per le facciate degli edifici storici i regolamenti possono richiedere una ritinteggiatura ogni dieci anni, ogni vent’anni per gli altri immobili che non rientrano nei centri storici.</w:t>
      </w:r>
      <w:r w:rsidRPr="00B10BB3">
        <w:rPr>
          <w:rFonts w:ascii="Times New Roman" w:eastAsia="Times New Roman" w:hAnsi="Times New Roman" w:cs="Times New Roman"/>
          <w:sz w:val="24"/>
          <w:szCs w:val="24"/>
          <w:lang w:eastAsia="it-IT"/>
        </w:rPr>
        <w:br/>
        <w:t> </w:t>
      </w:r>
      <w:r w:rsidRPr="00B10BB3">
        <w:rPr>
          <w:rFonts w:ascii="Times New Roman" w:eastAsia="Times New Roman" w:hAnsi="Times New Roman" w:cs="Times New Roman"/>
          <w:sz w:val="24"/>
          <w:szCs w:val="24"/>
          <w:lang w:eastAsia="it-IT"/>
        </w:rPr>
        <w:br/>
      </w:r>
      <w:r w:rsidRPr="00B10BB3">
        <w:rPr>
          <w:rFonts w:ascii="Times New Roman" w:eastAsia="Times New Roman" w:hAnsi="Times New Roman" w:cs="Times New Roman"/>
          <w:b/>
          <w:bCs/>
          <w:sz w:val="24"/>
          <w:szCs w:val="24"/>
          <w:lang w:eastAsia="it-IT"/>
        </w:rPr>
        <w:t>Soggetto competente e documentazione necessaria</w:t>
      </w:r>
      <w:r w:rsidRPr="00B10BB3">
        <w:rPr>
          <w:rFonts w:ascii="Times New Roman" w:eastAsia="Times New Roman" w:hAnsi="Times New Roman" w:cs="Times New Roman"/>
          <w:sz w:val="24"/>
          <w:szCs w:val="24"/>
          <w:lang w:eastAsia="it-IT"/>
        </w:rPr>
        <w:br/>
        <w:t> </w:t>
      </w:r>
      <w:r w:rsidRPr="00B10BB3">
        <w:rPr>
          <w:rFonts w:ascii="Times New Roman" w:eastAsia="Times New Roman" w:hAnsi="Times New Roman" w:cs="Times New Roman"/>
          <w:sz w:val="24"/>
          <w:szCs w:val="24"/>
          <w:lang w:eastAsia="it-IT"/>
        </w:rPr>
        <w:br/>
        <w:t xml:space="preserve">Il progettista che ha </w:t>
      </w:r>
      <w:r w:rsidRPr="00B10BB3">
        <w:rPr>
          <w:rFonts w:ascii="Times New Roman" w:eastAsia="Times New Roman" w:hAnsi="Times New Roman" w:cs="Times New Roman"/>
          <w:i/>
          <w:iCs/>
          <w:sz w:val="24"/>
          <w:szCs w:val="24"/>
          <w:lang w:eastAsia="it-IT"/>
        </w:rPr>
        <w:t>ricevuto mandato dall’amministratore del condominio</w:t>
      </w:r>
      <w:r w:rsidRPr="00B10BB3">
        <w:rPr>
          <w:rFonts w:ascii="Times New Roman" w:eastAsia="Times New Roman" w:hAnsi="Times New Roman" w:cs="Times New Roman"/>
          <w:sz w:val="24"/>
          <w:szCs w:val="24"/>
          <w:lang w:eastAsia="it-IT"/>
        </w:rPr>
        <w:t>, procede ad istruire la pratica per la richiesta del nulla osta. Ricordiamo che è indispensabile analizzare preliminarmente cosa dispone:</w:t>
      </w:r>
      <w:r w:rsidRPr="00B10BB3">
        <w:rPr>
          <w:rFonts w:ascii="Times New Roman" w:eastAsia="Times New Roman" w:hAnsi="Times New Roman" w:cs="Times New Roman"/>
          <w:sz w:val="24"/>
          <w:szCs w:val="24"/>
          <w:lang w:eastAsia="it-IT"/>
        </w:rPr>
        <w:br/>
        <w:t> </w:t>
      </w:r>
    </w:p>
    <w:p w:rsidR="00B10BB3" w:rsidRPr="00B10BB3" w:rsidRDefault="00B10BB3" w:rsidP="00B10BB3">
      <w:pPr>
        <w:numPr>
          <w:ilvl w:val="0"/>
          <w:numId w:val="3"/>
        </w:numPr>
        <w:spacing w:before="100" w:beforeAutospacing="1" w:after="100" w:afterAutospacing="1" w:line="240" w:lineRule="auto"/>
        <w:ind w:left="188"/>
        <w:rPr>
          <w:rFonts w:ascii="Times New Roman" w:eastAsia="Times New Roman" w:hAnsi="Times New Roman" w:cs="Times New Roman"/>
          <w:sz w:val="24"/>
          <w:szCs w:val="24"/>
          <w:lang w:eastAsia="it-IT"/>
        </w:rPr>
      </w:pPr>
      <w:r w:rsidRPr="00B10BB3">
        <w:rPr>
          <w:rFonts w:ascii="Times New Roman" w:eastAsia="Times New Roman" w:hAnsi="Times New Roman" w:cs="Times New Roman"/>
          <w:sz w:val="24"/>
          <w:szCs w:val="24"/>
          <w:lang w:eastAsia="it-IT"/>
        </w:rPr>
        <w:t>Regolamento edilizio comunale;</w:t>
      </w:r>
    </w:p>
    <w:p w:rsidR="00B10BB3" w:rsidRPr="00B10BB3" w:rsidRDefault="00B10BB3" w:rsidP="00B10BB3">
      <w:pPr>
        <w:numPr>
          <w:ilvl w:val="0"/>
          <w:numId w:val="3"/>
        </w:numPr>
        <w:spacing w:before="100" w:beforeAutospacing="1" w:after="100" w:afterAutospacing="1" w:line="240" w:lineRule="auto"/>
        <w:ind w:left="188"/>
        <w:rPr>
          <w:rFonts w:ascii="Times New Roman" w:eastAsia="Times New Roman" w:hAnsi="Times New Roman" w:cs="Times New Roman"/>
          <w:sz w:val="24"/>
          <w:szCs w:val="24"/>
          <w:lang w:eastAsia="it-IT"/>
        </w:rPr>
      </w:pPr>
      <w:proofErr w:type="spellStart"/>
      <w:r w:rsidRPr="00B10BB3">
        <w:rPr>
          <w:rFonts w:ascii="Times New Roman" w:eastAsia="Times New Roman" w:hAnsi="Times New Roman" w:cs="Times New Roman"/>
          <w:sz w:val="24"/>
          <w:szCs w:val="24"/>
          <w:lang w:eastAsia="it-IT"/>
        </w:rPr>
        <w:t>D.Lgs.</w:t>
      </w:r>
      <w:proofErr w:type="spellEnd"/>
      <w:r w:rsidRPr="00B10BB3">
        <w:rPr>
          <w:rFonts w:ascii="Times New Roman" w:eastAsia="Times New Roman" w:hAnsi="Times New Roman" w:cs="Times New Roman"/>
          <w:sz w:val="24"/>
          <w:szCs w:val="24"/>
          <w:lang w:eastAsia="it-IT"/>
        </w:rPr>
        <w:t xml:space="preserve"> 42/2004 per gli immobili sottoposti a vincoli paesaggistici.</w:t>
      </w:r>
    </w:p>
    <w:p w:rsidR="00B10BB3" w:rsidRPr="00B10BB3" w:rsidRDefault="00B10BB3" w:rsidP="00B10BB3">
      <w:pPr>
        <w:spacing w:after="0" w:line="240" w:lineRule="auto"/>
        <w:rPr>
          <w:rFonts w:ascii="Times New Roman" w:eastAsia="Times New Roman" w:hAnsi="Times New Roman" w:cs="Times New Roman"/>
          <w:sz w:val="24"/>
          <w:szCs w:val="24"/>
          <w:lang w:eastAsia="it-IT"/>
        </w:rPr>
      </w:pPr>
      <w:r w:rsidRPr="00B10BB3">
        <w:rPr>
          <w:rFonts w:ascii="Times New Roman" w:eastAsia="Times New Roman" w:hAnsi="Times New Roman" w:cs="Times New Roman"/>
          <w:sz w:val="24"/>
          <w:szCs w:val="24"/>
          <w:lang w:eastAsia="it-IT"/>
        </w:rPr>
        <w:br/>
        <w:t> </w:t>
      </w:r>
      <w:r w:rsidRPr="00B10BB3">
        <w:rPr>
          <w:rFonts w:ascii="Times New Roman" w:eastAsia="Times New Roman" w:hAnsi="Times New Roman" w:cs="Times New Roman"/>
          <w:sz w:val="24"/>
          <w:szCs w:val="24"/>
          <w:lang w:eastAsia="it-IT"/>
        </w:rPr>
        <w:br/>
        <w:t>Infatti per gli edifici siti in zone soggette a tutela paesaggistica, i proprietari dovranno</w:t>
      </w:r>
      <w:r w:rsidRPr="00B10BB3">
        <w:rPr>
          <w:rFonts w:ascii="Times New Roman" w:eastAsia="Times New Roman" w:hAnsi="Times New Roman" w:cs="Times New Roman"/>
          <w:sz w:val="24"/>
          <w:szCs w:val="24"/>
          <w:lang w:eastAsia="it-IT"/>
        </w:rPr>
        <w:br/>
        <w:t> </w:t>
      </w:r>
    </w:p>
    <w:p w:rsidR="00B10BB3" w:rsidRPr="00B10BB3" w:rsidRDefault="00B10BB3" w:rsidP="00B10BB3">
      <w:pPr>
        <w:numPr>
          <w:ilvl w:val="0"/>
          <w:numId w:val="4"/>
        </w:numPr>
        <w:spacing w:before="100" w:beforeAutospacing="1" w:after="100" w:afterAutospacing="1" w:line="240" w:lineRule="auto"/>
        <w:ind w:left="188"/>
        <w:rPr>
          <w:rFonts w:ascii="Times New Roman" w:eastAsia="Times New Roman" w:hAnsi="Times New Roman" w:cs="Times New Roman"/>
          <w:sz w:val="24"/>
          <w:szCs w:val="24"/>
          <w:lang w:eastAsia="it-IT"/>
        </w:rPr>
      </w:pPr>
      <w:r w:rsidRPr="00B10BB3">
        <w:rPr>
          <w:rFonts w:ascii="Times New Roman" w:eastAsia="Times New Roman" w:hAnsi="Times New Roman" w:cs="Times New Roman"/>
          <w:sz w:val="24"/>
          <w:szCs w:val="24"/>
          <w:lang w:eastAsia="it-IT"/>
        </w:rPr>
        <w:lastRenderedPageBreak/>
        <w:t>richiedere il</w:t>
      </w:r>
      <w:r w:rsidRPr="00B10BB3">
        <w:rPr>
          <w:rFonts w:ascii="Times New Roman" w:eastAsia="Times New Roman" w:hAnsi="Times New Roman" w:cs="Times New Roman"/>
          <w:i/>
          <w:iCs/>
          <w:sz w:val="24"/>
          <w:szCs w:val="24"/>
          <w:lang w:eastAsia="it-IT"/>
        </w:rPr>
        <w:t xml:space="preserve"> rilascio dell’autorizzazione paesaggistica;</w:t>
      </w:r>
    </w:p>
    <w:p w:rsidR="00B10BB3" w:rsidRPr="00B10BB3" w:rsidRDefault="00B10BB3" w:rsidP="00B10BB3">
      <w:pPr>
        <w:numPr>
          <w:ilvl w:val="0"/>
          <w:numId w:val="4"/>
        </w:numPr>
        <w:spacing w:before="100" w:beforeAutospacing="1" w:after="100" w:afterAutospacing="1" w:line="240" w:lineRule="auto"/>
        <w:ind w:left="188"/>
        <w:rPr>
          <w:rFonts w:ascii="Times New Roman" w:eastAsia="Times New Roman" w:hAnsi="Times New Roman" w:cs="Times New Roman"/>
          <w:sz w:val="24"/>
          <w:szCs w:val="24"/>
          <w:lang w:eastAsia="it-IT"/>
        </w:rPr>
      </w:pPr>
      <w:r w:rsidRPr="00B10BB3">
        <w:rPr>
          <w:rFonts w:ascii="Times New Roman" w:eastAsia="Times New Roman" w:hAnsi="Times New Roman" w:cs="Times New Roman"/>
          <w:sz w:val="24"/>
          <w:szCs w:val="24"/>
          <w:lang w:eastAsia="it-IT"/>
        </w:rPr>
        <w:t xml:space="preserve">indicare preliminarmente </w:t>
      </w:r>
      <w:r w:rsidRPr="00B10BB3">
        <w:rPr>
          <w:rFonts w:ascii="Times New Roman" w:eastAsia="Times New Roman" w:hAnsi="Times New Roman" w:cs="Times New Roman"/>
          <w:i/>
          <w:iCs/>
          <w:sz w:val="24"/>
          <w:szCs w:val="24"/>
          <w:lang w:eastAsia="it-IT"/>
        </w:rPr>
        <w:t>i colori che si intendono usare</w:t>
      </w:r>
      <w:r w:rsidRPr="00B10BB3">
        <w:rPr>
          <w:rFonts w:ascii="Times New Roman" w:eastAsia="Times New Roman" w:hAnsi="Times New Roman" w:cs="Times New Roman"/>
          <w:sz w:val="24"/>
          <w:szCs w:val="24"/>
          <w:lang w:eastAsia="it-IT"/>
        </w:rPr>
        <w:t xml:space="preserve"> e devono essere preventivamente concordare con l’ufficio competente della Soprintendenza ai Beni Architettonici e del Paesaggio.</w:t>
      </w:r>
    </w:p>
    <w:p w:rsidR="00B10BB3" w:rsidRPr="00B10BB3" w:rsidRDefault="00B10BB3" w:rsidP="00B10BB3">
      <w:pPr>
        <w:spacing w:after="0" w:line="240" w:lineRule="auto"/>
        <w:ind w:left="188"/>
        <w:rPr>
          <w:rFonts w:ascii="Times New Roman" w:eastAsia="Times New Roman" w:hAnsi="Times New Roman" w:cs="Times New Roman"/>
          <w:sz w:val="24"/>
          <w:szCs w:val="24"/>
          <w:lang w:eastAsia="it-IT"/>
        </w:rPr>
      </w:pPr>
      <w:r w:rsidRPr="00B10BB3">
        <w:rPr>
          <w:rFonts w:ascii="Times New Roman" w:eastAsia="Times New Roman" w:hAnsi="Times New Roman" w:cs="Times New Roman"/>
          <w:sz w:val="24"/>
          <w:szCs w:val="24"/>
          <w:lang w:eastAsia="it-IT"/>
        </w:rPr>
        <w:br/>
        <w:t> </w:t>
      </w:r>
      <w:r w:rsidRPr="00B10BB3">
        <w:rPr>
          <w:rFonts w:ascii="Times New Roman" w:eastAsia="Times New Roman" w:hAnsi="Times New Roman" w:cs="Times New Roman"/>
          <w:sz w:val="24"/>
          <w:szCs w:val="24"/>
          <w:lang w:eastAsia="it-IT"/>
        </w:rPr>
        <w:br/>
        <w:t>A tale documentazione si dovrà allegare:</w:t>
      </w:r>
      <w:r w:rsidRPr="00B10BB3">
        <w:rPr>
          <w:rFonts w:ascii="Times New Roman" w:eastAsia="Times New Roman" w:hAnsi="Times New Roman" w:cs="Times New Roman"/>
          <w:sz w:val="24"/>
          <w:szCs w:val="24"/>
          <w:lang w:eastAsia="it-IT"/>
        </w:rPr>
        <w:br/>
        <w:t> </w:t>
      </w:r>
    </w:p>
    <w:p w:rsidR="00B10BB3" w:rsidRPr="00B10BB3" w:rsidRDefault="00B10BB3" w:rsidP="00B10BB3">
      <w:pPr>
        <w:numPr>
          <w:ilvl w:val="1"/>
          <w:numId w:val="4"/>
        </w:numPr>
        <w:spacing w:before="100" w:beforeAutospacing="1" w:after="100" w:afterAutospacing="1" w:line="240" w:lineRule="auto"/>
        <w:ind w:left="376"/>
        <w:rPr>
          <w:rFonts w:ascii="Times New Roman" w:eastAsia="Times New Roman" w:hAnsi="Times New Roman" w:cs="Times New Roman"/>
          <w:sz w:val="24"/>
          <w:szCs w:val="24"/>
          <w:lang w:eastAsia="it-IT"/>
        </w:rPr>
      </w:pPr>
      <w:r w:rsidRPr="00B10BB3">
        <w:rPr>
          <w:rFonts w:ascii="Times New Roman" w:eastAsia="Times New Roman" w:hAnsi="Times New Roman" w:cs="Times New Roman"/>
          <w:sz w:val="24"/>
          <w:szCs w:val="24"/>
          <w:lang w:eastAsia="it-IT"/>
        </w:rPr>
        <w:t>modello di Richiesta Autorizzazione Colore compilato e firmato dal Richiedente e dal Progettista con indicazione delle tinte e degli elementi da tinteggiare;</w:t>
      </w:r>
    </w:p>
    <w:p w:rsidR="00B10BB3" w:rsidRPr="00B10BB3" w:rsidRDefault="00B10BB3" w:rsidP="00B10BB3">
      <w:pPr>
        <w:numPr>
          <w:ilvl w:val="1"/>
          <w:numId w:val="4"/>
        </w:numPr>
        <w:spacing w:before="100" w:beforeAutospacing="1" w:after="100" w:afterAutospacing="1" w:line="240" w:lineRule="auto"/>
        <w:ind w:left="376"/>
        <w:rPr>
          <w:rFonts w:ascii="Times New Roman" w:eastAsia="Times New Roman" w:hAnsi="Times New Roman" w:cs="Times New Roman"/>
          <w:sz w:val="24"/>
          <w:szCs w:val="24"/>
          <w:lang w:eastAsia="it-IT"/>
        </w:rPr>
      </w:pPr>
      <w:r w:rsidRPr="00B10BB3">
        <w:rPr>
          <w:rFonts w:ascii="Times New Roman" w:eastAsia="Times New Roman" w:hAnsi="Times New Roman" w:cs="Times New Roman"/>
          <w:sz w:val="24"/>
          <w:szCs w:val="24"/>
          <w:lang w:eastAsia="it-IT"/>
        </w:rPr>
        <w:t>relazione tecnica, con precise indicazioni dell’intervento;</w:t>
      </w:r>
    </w:p>
    <w:p w:rsidR="00B10BB3" w:rsidRPr="00B10BB3" w:rsidRDefault="00B10BB3" w:rsidP="00B10BB3">
      <w:pPr>
        <w:numPr>
          <w:ilvl w:val="1"/>
          <w:numId w:val="4"/>
        </w:numPr>
        <w:spacing w:before="100" w:beforeAutospacing="1" w:after="100" w:afterAutospacing="1" w:line="240" w:lineRule="auto"/>
        <w:ind w:left="376"/>
        <w:rPr>
          <w:rFonts w:ascii="Times New Roman" w:eastAsia="Times New Roman" w:hAnsi="Times New Roman" w:cs="Times New Roman"/>
          <w:sz w:val="24"/>
          <w:szCs w:val="24"/>
          <w:lang w:eastAsia="it-IT"/>
        </w:rPr>
      </w:pPr>
      <w:r w:rsidRPr="00B10BB3">
        <w:rPr>
          <w:rFonts w:ascii="Times New Roman" w:eastAsia="Times New Roman" w:hAnsi="Times New Roman" w:cs="Times New Roman"/>
          <w:sz w:val="24"/>
          <w:szCs w:val="24"/>
          <w:lang w:eastAsia="it-IT"/>
        </w:rPr>
        <w:t>stralcio planimetrico del Piano comunale dei Beni culturali e paesaggistici solo per immobili soggetti a tutela;</w:t>
      </w:r>
    </w:p>
    <w:p w:rsidR="00B10BB3" w:rsidRPr="00B10BB3" w:rsidRDefault="00B10BB3" w:rsidP="00B10BB3">
      <w:pPr>
        <w:numPr>
          <w:ilvl w:val="1"/>
          <w:numId w:val="4"/>
        </w:numPr>
        <w:spacing w:before="100" w:beforeAutospacing="1" w:after="100" w:afterAutospacing="1" w:line="240" w:lineRule="auto"/>
        <w:ind w:left="376"/>
        <w:rPr>
          <w:rFonts w:ascii="Times New Roman" w:eastAsia="Times New Roman" w:hAnsi="Times New Roman" w:cs="Times New Roman"/>
          <w:sz w:val="24"/>
          <w:szCs w:val="24"/>
          <w:lang w:eastAsia="it-IT"/>
        </w:rPr>
      </w:pPr>
      <w:r w:rsidRPr="00B10BB3">
        <w:rPr>
          <w:rFonts w:ascii="Times New Roman" w:eastAsia="Times New Roman" w:hAnsi="Times New Roman" w:cs="Times New Roman"/>
          <w:sz w:val="24"/>
          <w:szCs w:val="24"/>
          <w:lang w:eastAsia="it-IT"/>
        </w:rPr>
        <w:t>documentazione fotografica dei manufatti oggetto d’intervento.</w:t>
      </w:r>
    </w:p>
    <w:p w:rsidR="00B10BB3" w:rsidRPr="00B10BB3" w:rsidRDefault="00B10BB3" w:rsidP="00B10BB3">
      <w:pPr>
        <w:spacing w:after="0" w:line="240" w:lineRule="auto"/>
        <w:ind w:left="188"/>
        <w:rPr>
          <w:rFonts w:ascii="Times New Roman" w:eastAsia="Times New Roman" w:hAnsi="Times New Roman" w:cs="Times New Roman"/>
          <w:sz w:val="24"/>
          <w:szCs w:val="24"/>
          <w:lang w:eastAsia="it-IT"/>
        </w:rPr>
      </w:pPr>
      <w:r w:rsidRPr="00B10BB3">
        <w:rPr>
          <w:rFonts w:ascii="Times New Roman" w:eastAsia="Times New Roman" w:hAnsi="Times New Roman" w:cs="Times New Roman"/>
          <w:sz w:val="24"/>
          <w:szCs w:val="24"/>
          <w:lang w:eastAsia="it-IT"/>
        </w:rPr>
        <w:br/>
        <w:t> </w:t>
      </w:r>
    </w:p>
    <w:p w:rsidR="00B10BB3" w:rsidRPr="00B10BB3" w:rsidRDefault="00B10BB3" w:rsidP="00B10BB3">
      <w:pPr>
        <w:spacing w:before="100" w:beforeAutospacing="1" w:after="100" w:afterAutospacing="1" w:line="240" w:lineRule="auto"/>
        <w:ind w:left="188"/>
        <w:jc w:val="center"/>
        <w:rPr>
          <w:rFonts w:ascii="Times New Roman" w:eastAsia="Times New Roman" w:hAnsi="Times New Roman" w:cs="Times New Roman"/>
          <w:sz w:val="24"/>
          <w:szCs w:val="24"/>
          <w:lang w:eastAsia="it-IT"/>
        </w:rPr>
      </w:pPr>
      <w:r w:rsidRPr="00B10BB3">
        <w:rPr>
          <w:rFonts w:ascii="Times New Roman" w:eastAsia="Times New Roman" w:hAnsi="Times New Roman" w:cs="Times New Roman"/>
          <w:b/>
          <w:bCs/>
          <w:sz w:val="24"/>
          <w:szCs w:val="24"/>
          <w:lang w:eastAsia="it-IT"/>
        </w:rPr>
        <w:t xml:space="preserve">BREVE VADEMECUM DELLA DOCUMENTAZIONE </w:t>
      </w:r>
    </w:p>
    <w:p w:rsidR="00B10BB3" w:rsidRPr="00B10BB3" w:rsidRDefault="00B10BB3" w:rsidP="00B10BB3">
      <w:pPr>
        <w:spacing w:after="0" w:line="240" w:lineRule="auto"/>
        <w:ind w:left="188"/>
        <w:rPr>
          <w:rFonts w:ascii="Times New Roman" w:eastAsia="Times New Roman" w:hAnsi="Times New Roman" w:cs="Times New Roman"/>
          <w:sz w:val="24"/>
          <w:szCs w:val="24"/>
          <w:lang w:eastAsia="it-IT"/>
        </w:rPr>
      </w:pPr>
      <w:r w:rsidRPr="00B10BB3">
        <w:rPr>
          <w:rFonts w:ascii="Times New Roman" w:eastAsia="Times New Roman" w:hAnsi="Times New Roman" w:cs="Times New Roman"/>
          <w:sz w:val="24"/>
          <w:szCs w:val="24"/>
          <w:lang w:eastAsia="it-IT"/>
        </w:rPr>
        <w:lastRenderedPageBreak/>
        <w:br/>
      </w:r>
      <w:r>
        <w:rPr>
          <w:rFonts w:ascii="Times New Roman" w:eastAsia="Times New Roman" w:hAnsi="Times New Roman" w:cs="Times New Roman"/>
          <w:noProof/>
          <w:sz w:val="24"/>
          <w:szCs w:val="24"/>
          <w:lang w:eastAsia="it-IT"/>
        </w:rPr>
        <w:drawing>
          <wp:inline distT="0" distB="0" distL="0" distR="0">
            <wp:extent cx="5892165" cy="5240020"/>
            <wp:effectExtent l="19050" t="0" r="0" b="0"/>
            <wp:docPr id="6" name="Immagine 6" descr="http://www.condominioweb.com/img_art/colore_facciata_13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dominioweb.com/img_art/colore_facciata_13_03.png"/>
                    <pic:cNvPicPr>
                      <a:picLocks noChangeAspect="1" noChangeArrowheads="1"/>
                    </pic:cNvPicPr>
                  </pic:nvPicPr>
                  <pic:blipFill>
                    <a:blip r:embed="rId5" cstate="print"/>
                    <a:srcRect/>
                    <a:stretch>
                      <a:fillRect/>
                    </a:stretch>
                  </pic:blipFill>
                  <pic:spPr bwMode="auto">
                    <a:xfrm>
                      <a:off x="0" y="0"/>
                      <a:ext cx="5892165" cy="5240020"/>
                    </a:xfrm>
                    <a:prstGeom prst="rect">
                      <a:avLst/>
                    </a:prstGeom>
                    <a:noFill/>
                    <a:ln w="9525">
                      <a:noFill/>
                      <a:miter lim="800000"/>
                      <a:headEnd/>
                      <a:tailEnd/>
                    </a:ln>
                  </pic:spPr>
                </pic:pic>
              </a:graphicData>
            </a:graphic>
          </wp:inline>
        </w:drawing>
      </w:r>
    </w:p>
    <w:p w:rsidR="00B10BB3" w:rsidRPr="00B10BB3" w:rsidRDefault="00B10BB3" w:rsidP="00B10BB3">
      <w:pPr>
        <w:shd w:val="clear" w:color="auto" w:fill="FFFFFF"/>
        <w:spacing w:after="0" w:line="240" w:lineRule="auto"/>
        <w:rPr>
          <w:rFonts w:ascii="Times New Roman" w:eastAsia="Times New Roman" w:hAnsi="Times New Roman" w:cs="Times New Roman"/>
          <w:color w:val="000000"/>
          <w:sz w:val="24"/>
          <w:szCs w:val="24"/>
          <w:lang w:eastAsia="it-IT"/>
        </w:rPr>
      </w:pPr>
      <w:r w:rsidRPr="00B10BB3">
        <w:rPr>
          <w:rFonts w:ascii="Times New Roman" w:eastAsia="Times New Roman" w:hAnsi="Times New Roman" w:cs="Times New Roman"/>
          <w:color w:val="000000"/>
          <w:sz w:val="24"/>
          <w:szCs w:val="24"/>
          <w:lang w:eastAsia="it-IT"/>
        </w:rPr>
        <w:br/>
        <w:t>Fonte</w:t>
      </w:r>
      <w:r>
        <w:rPr>
          <w:rFonts w:ascii="Times New Roman" w:eastAsia="Times New Roman" w:hAnsi="Times New Roman" w:cs="Times New Roman"/>
          <w:color w:val="000000"/>
          <w:sz w:val="24"/>
          <w:szCs w:val="24"/>
          <w:lang w:eastAsia="it-IT"/>
        </w:rPr>
        <w:t xml:space="preserve">: </w:t>
      </w:r>
      <w:r w:rsidRPr="00B10BB3">
        <w:rPr>
          <w:rFonts w:ascii="Times New Roman" w:eastAsia="Times New Roman" w:hAnsi="Times New Roman" w:cs="Times New Roman"/>
          <w:color w:val="000000"/>
          <w:sz w:val="24"/>
          <w:szCs w:val="24"/>
          <w:lang w:eastAsia="it-IT"/>
        </w:rPr>
        <w:t xml:space="preserve"> </w:t>
      </w:r>
      <w:hyperlink r:id="rId6" w:anchor="ixzz3MGDgPA8Z" w:history="1">
        <w:r w:rsidRPr="00B10BB3">
          <w:rPr>
            <w:rFonts w:ascii="Times New Roman" w:eastAsia="Times New Roman" w:hAnsi="Times New Roman" w:cs="Times New Roman"/>
            <w:color w:val="0070C0"/>
            <w:sz w:val="24"/>
            <w:szCs w:val="24"/>
            <w:u w:val="single"/>
            <w:lang w:eastAsia="it-IT"/>
          </w:rPr>
          <w:t>http://www.condominioweb.</w:t>
        </w:r>
      </w:hyperlink>
      <w:r w:rsidRPr="00B10BB3">
        <w:rPr>
          <w:rFonts w:ascii="Times New Roman" w:eastAsia="Times New Roman" w:hAnsi="Times New Roman" w:cs="Times New Roman"/>
          <w:color w:val="0070C0"/>
          <w:sz w:val="24"/>
          <w:szCs w:val="24"/>
          <w:lang w:eastAsia="it-IT"/>
        </w:rPr>
        <w:t>com</w:t>
      </w:r>
      <w:r w:rsidRPr="00B10BB3">
        <w:rPr>
          <w:rFonts w:ascii="Times New Roman" w:eastAsia="Times New Roman" w:hAnsi="Times New Roman" w:cs="Times New Roman"/>
          <w:color w:val="000000"/>
          <w:sz w:val="24"/>
          <w:szCs w:val="24"/>
          <w:lang w:eastAsia="it-IT"/>
        </w:rPr>
        <w:t xml:space="preserve">  </w:t>
      </w:r>
      <w:r w:rsidRPr="00B10BB3">
        <w:rPr>
          <w:rFonts w:ascii="Times New Roman" w:eastAsia="Times New Roman" w:hAnsi="Times New Roman" w:cs="Times New Roman"/>
          <w:color w:val="000000"/>
          <w:sz w:val="24"/>
          <w:szCs w:val="24"/>
          <w:lang w:eastAsia="it-IT"/>
        </w:rPr>
        <w:br/>
      </w:r>
    </w:p>
    <w:p w:rsidR="00B10BB3" w:rsidRPr="00B10BB3" w:rsidRDefault="00B10BB3" w:rsidP="00B10BB3">
      <w:pPr>
        <w:rPr>
          <w:rFonts w:ascii="Times New Roman" w:eastAsia="Times New Roman" w:hAnsi="Times New Roman" w:cs="Times New Roman"/>
          <w:sz w:val="24"/>
          <w:szCs w:val="24"/>
          <w:lang w:eastAsia="it-IT"/>
        </w:rPr>
      </w:pPr>
    </w:p>
    <w:p w:rsidR="00B10BB3" w:rsidRPr="00B10BB3" w:rsidRDefault="00B10BB3" w:rsidP="00B10BB3">
      <w:pPr>
        <w:spacing w:after="0" w:line="240" w:lineRule="auto"/>
        <w:ind w:left="188"/>
        <w:rPr>
          <w:rFonts w:ascii="Times New Roman" w:eastAsia="Times New Roman" w:hAnsi="Times New Roman" w:cs="Times New Roman"/>
          <w:sz w:val="24"/>
          <w:szCs w:val="24"/>
          <w:lang w:eastAsia="it-IT"/>
        </w:rPr>
      </w:pPr>
      <w:r w:rsidRPr="00B10BB3">
        <w:rPr>
          <w:rFonts w:ascii="Times New Roman" w:eastAsia="Times New Roman" w:hAnsi="Times New Roman" w:cs="Times New Roman"/>
          <w:sz w:val="24"/>
          <w:szCs w:val="24"/>
          <w:lang w:eastAsia="it-IT"/>
        </w:rPr>
        <w:br/>
        <w:t> </w:t>
      </w:r>
    </w:p>
    <w:p w:rsidR="00B10BB3" w:rsidRPr="00B10BB3" w:rsidRDefault="00B10BB3" w:rsidP="00B10BB3">
      <w:pPr>
        <w:spacing w:before="100" w:beforeAutospacing="1" w:after="100" w:afterAutospacing="1" w:line="240" w:lineRule="auto"/>
        <w:rPr>
          <w:rFonts w:ascii="Times New Roman" w:eastAsia="Times New Roman" w:hAnsi="Times New Roman" w:cs="Times New Roman"/>
          <w:b/>
          <w:bCs/>
          <w:sz w:val="24"/>
          <w:szCs w:val="24"/>
          <w:lang w:eastAsia="it-IT"/>
        </w:rPr>
      </w:pPr>
      <w:r>
        <w:lastRenderedPageBreak/>
        <w:br/>
      </w:r>
      <w:r>
        <w:rPr>
          <w:noProof/>
          <w:lang w:eastAsia="it-IT"/>
        </w:rPr>
        <w:drawing>
          <wp:inline distT="0" distB="0" distL="0" distR="0">
            <wp:extent cx="5892165" cy="5240020"/>
            <wp:effectExtent l="19050" t="0" r="0" b="0"/>
            <wp:docPr id="3" name="Immagine 3" descr="http://www.condominioweb.com/img_art/colore_facciata_13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dominioweb.com/img_art/colore_facciata_13_03.png"/>
                    <pic:cNvPicPr>
                      <a:picLocks noChangeAspect="1" noChangeArrowheads="1"/>
                    </pic:cNvPicPr>
                  </pic:nvPicPr>
                  <pic:blipFill>
                    <a:blip r:embed="rId5" cstate="print"/>
                    <a:srcRect/>
                    <a:stretch>
                      <a:fillRect/>
                    </a:stretch>
                  </pic:blipFill>
                  <pic:spPr bwMode="auto">
                    <a:xfrm>
                      <a:off x="0" y="0"/>
                      <a:ext cx="5892165" cy="5240020"/>
                    </a:xfrm>
                    <a:prstGeom prst="rect">
                      <a:avLst/>
                    </a:prstGeom>
                    <a:noFill/>
                    <a:ln w="9525">
                      <a:noFill/>
                      <a:miter lim="800000"/>
                      <a:headEnd/>
                      <a:tailEnd/>
                    </a:ln>
                  </pic:spPr>
                </pic:pic>
              </a:graphicData>
            </a:graphic>
          </wp:inline>
        </w:drawing>
      </w:r>
    </w:p>
    <w:p w:rsidR="00B10BB3" w:rsidRDefault="00B10BB3" w:rsidP="00B10BB3">
      <w:pPr>
        <w:shd w:val="clear" w:color="auto" w:fill="FFFFFF"/>
        <w:rPr>
          <w:color w:val="000000"/>
        </w:rPr>
      </w:pPr>
    </w:p>
    <w:p w:rsidR="00B10BB3" w:rsidRPr="008C727E" w:rsidRDefault="00B10BB3" w:rsidP="008C727E">
      <w:pPr>
        <w:spacing w:before="100" w:beforeAutospacing="1" w:after="100" w:afterAutospacing="1" w:line="240" w:lineRule="auto"/>
        <w:outlineLvl w:val="1"/>
        <w:rPr>
          <w:rFonts w:ascii="Times New Roman" w:eastAsia="Times New Roman" w:hAnsi="Times New Roman" w:cs="Times New Roman"/>
          <w:b/>
          <w:bCs/>
          <w:color w:val="444444"/>
          <w:sz w:val="28"/>
          <w:szCs w:val="28"/>
          <w:lang w:eastAsia="it-IT"/>
        </w:rPr>
      </w:pPr>
    </w:p>
    <w:p w:rsidR="005C7161" w:rsidRDefault="005C7161"/>
    <w:sectPr w:rsidR="005C7161" w:rsidSect="005C716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ADB"/>
    <w:multiLevelType w:val="multilevel"/>
    <w:tmpl w:val="9270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F310C9"/>
    <w:multiLevelType w:val="multilevel"/>
    <w:tmpl w:val="31DC0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5D2558"/>
    <w:multiLevelType w:val="multilevel"/>
    <w:tmpl w:val="C9F8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CC7869"/>
    <w:multiLevelType w:val="multilevel"/>
    <w:tmpl w:val="4516C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C727E"/>
    <w:rsid w:val="005C7161"/>
    <w:rsid w:val="008C727E"/>
    <w:rsid w:val="00B10BB3"/>
    <w:rsid w:val="00B80A2C"/>
    <w:rsid w:val="00BF7D15"/>
    <w:rsid w:val="00FE77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161"/>
  </w:style>
  <w:style w:type="paragraph" w:styleId="Titolo1">
    <w:name w:val="heading 1"/>
    <w:basedOn w:val="Normale"/>
    <w:next w:val="Normale"/>
    <w:link w:val="Titolo1Carattere"/>
    <w:uiPriority w:val="9"/>
    <w:qFormat/>
    <w:rsid w:val="00B10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8C727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C727E"/>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8C72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C727E"/>
    <w:rPr>
      <w:b/>
      <w:bCs/>
    </w:rPr>
  </w:style>
  <w:style w:type="character" w:styleId="Enfasicorsivo">
    <w:name w:val="Emphasis"/>
    <w:basedOn w:val="Carpredefinitoparagrafo"/>
    <w:uiPriority w:val="20"/>
    <w:qFormat/>
    <w:rsid w:val="008C727E"/>
    <w:rPr>
      <w:i/>
      <w:iCs/>
    </w:rPr>
  </w:style>
  <w:style w:type="character" w:styleId="Collegamentoipertestuale">
    <w:name w:val="Hyperlink"/>
    <w:basedOn w:val="Carpredefinitoparagrafo"/>
    <w:uiPriority w:val="99"/>
    <w:semiHidden/>
    <w:unhideWhenUsed/>
    <w:rsid w:val="008C727E"/>
    <w:rPr>
      <w:color w:val="0000FF"/>
      <w:u w:val="single"/>
    </w:rPr>
  </w:style>
  <w:style w:type="character" w:customStyle="1" w:styleId="Titolo1Carattere">
    <w:name w:val="Titolo 1 Carattere"/>
    <w:basedOn w:val="Carpredefinitoparagrafo"/>
    <w:link w:val="Titolo1"/>
    <w:uiPriority w:val="9"/>
    <w:rsid w:val="00B10BB3"/>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B10B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0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554840">
      <w:bodyDiv w:val="1"/>
      <w:marLeft w:val="0"/>
      <w:marRight w:val="0"/>
      <w:marTop w:val="0"/>
      <w:marBottom w:val="0"/>
      <w:divBdr>
        <w:top w:val="none" w:sz="0" w:space="0" w:color="auto"/>
        <w:left w:val="none" w:sz="0" w:space="0" w:color="auto"/>
        <w:bottom w:val="none" w:sz="0" w:space="0" w:color="auto"/>
        <w:right w:val="none" w:sz="0" w:space="0" w:color="auto"/>
      </w:divBdr>
    </w:div>
    <w:div w:id="315768886">
      <w:bodyDiv w:val="1"/>
      <w:marLeft w:val="0"/>
      <w:marRight w:val="0"/>
      <w:marTop w:val="0"/>
      <w:marBottom w:val="0"/>
      <w:divBdr>
        <w:top w:val="none" w:sz="0" w:space="0" w:color="auto"/>
        <w:left w:val="none" w:sz="0" w:space="0" w:color="auto"/>
        <w:bottom w:val="none" w:sz="0" w:space="0" w:color="auto"/>
        <w:right w:val="none" w:sz="0" w:space="0" w:color="auto"/>
      </w:divBdr>
    </w:div>
    <w:div w:id="1172187514">
      <w:bodyDiv w:val="1"/>
      <w:marLeft w:val="0"/>
      <w:marRight w:val="0"/>
      <w:marTop w:val="0"/>
      <w:marBottom w:val="0"/>
      <w:divBdr>
        <w:top w:val="none" w:sz="0" w:space="0" w:color="auto"/>
        <w:left w:val="none" w:sz="0" w:space="0" w:color="auto"/>
        <w:bottom w:val="none" w:sz="0" w:space="0" w:color="auto"/>
        <w:right w:val="none" w:sz="0" w:space="0" w:color="auto"/>
      </w:divBdr>
    </w:div>
    <w:div w:id="1745487868">
      <w:bodyDiv w:val="1"/>
      <w:marLeft w:val="0"/>
      <w:marRight w:val="0"/>
      <w:marTop w:val="0"/>
      <w:marBottom w:val="0"/>
      <w:divBdr>
        <w:top w:val="none" w:sz="0" w:space="0" w:color="auto"/>
        <w:left w:val="none" w:sz="0" w:space="0" w:color="auto"/>
        <w:bottom w:val="none" w:sz="0" w:space="0" w:color="auto"/>
        <w:right w:val="none" w:sz="0" w:space="0" w:color="auto"/>
      </w:divBdr>
      <w:divsChild>
        <w:div w:id="1070269173">
          <w:marLeft w:val="0"/>
          <w:marRight w:val="0"/>
          <w:marTop w:val="125"/>
          <w:marBottom w:val="250"/>
          <w:divBdr>
            <w:top w:val="none" w:sz="0" w:space="0" w:color="auto"/>
            <w:left w:val="none" w:sz="0" w:space="0" w:color="auto"/>
            <w:bottom w:val="none" w:sz="0" w:space="0" w:color="auto"/>
            <w:right w:val="none" w:sz="0" w:space="0" w:color="auto"/>
          </w:divBdr>
        </w:div>
      </w:divsChild>
    </w:div>
    <w:div w:id="214284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dominioweb.com/tutto-cio-che-e-necessario-sapere-sulla-facciata-condominiale.135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2</cp:revision>
  <dcterms:created xsi:type="dcterms:W3CDTF">2014-12-22T18:59:00Z</dcterms:created>
  <dcterms:modified xsi:type="dcterms:W3CDTF">2014-12-22T18:59:00Z</dcterms:modified>
</cp:coreProperties>
</file>