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8314" w14:textId="4B161C67" w:rsidR="005F5EDA" w:rsidRPr="00531572" w:rsidRDefault="005F5EDA" w:rsidP="00531572">
      <w:pPr>
        <w:shd w:val="clear" w:color="auto" w:fill="FFFFFF"/>
        <w:spacing w:after="0" w:line="612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51"/>
          <w:szCs w:val="51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000000"/>
          <w:kern w:val="36"/>
          <w:sz w:val="51"/>
          <w:szCs w:val="51"/>
          <w:lang w:eastAsia="it-IT"/>
        </w:rPr>
        <w:t>SUPERBONUS 110 E LAVORI AMMESSI: ECCO LA GUIDA INTERATTIVA</w:t>
      </w:r>
    </w:p>
    <w:p w14:paraId="6CFB8FDF" w14:textId="77777777" w:rsidR="005F5EDA" w:rsidRPr="005F5EDA" w:rsidRDefault="005F5EDA" w:rsidP="005F5EDA">
      <w:pPr>
        <w:shd w:val="clear" w:color="auto" w:fill="FFFFFF"/>
        <w:spacing w:before="150" w:after="0" w:line="480" w:lineRule="atLeast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</w:pPr>
      <w:r w:rsidRPr="005F5EDA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  <w:t>I chiarimenti dell’Agenzia dell’Entrate sul Superbonus: come funziona, requisiti e consigli per le detrazioni</w:t>
      </w:r>
    </w:p>
    <w:p w14:paraId="09CB56BA" w14:textId="0CF414E3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cessione del credito e lo sconto in fattura per il Superbonus che riguarda le spese sostenute da 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luglio 2020 a dicembre 2021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Il Decreto Rilancio suddivide il panorama dei lavori in 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interventi trainanti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vincolanti per l'ottenimento del bonus 110% e 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interventi trainati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raggiungono il Superbonus 110% se eseguiti congiuntamente ai primi. Questo significa che basta eseguire almeno uno degli scenari migliorativi principali per trovarsi con il massimo di detrazione applicato a tutto il gruppo di lavori. Requisito fondamentale richiesto ai progettisti è il 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salto di due classi energetiche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tra l'APE nello stato di fatto dell'edificio e l'APE post intervento.</w:t>
      </w:r>
    </w:p>
    <w:p w14:paraId="58CAC2A9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la conversione in Legge del Decreto Rilancio e i primi chiarimenti interpretativi dell’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Agenzia delle Entrate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ripercorriamo insieme gli interventi trainanti e quelli trascinati racchiusi in una 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guida grafica interattiva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semplice da consultare: ad ogni lettera evidenziata sulla sezione dell'edificio corrisponde un dettaglio dei lavori, con requisiti di progetto, suggerimenti e note esplicative utili al professionista e alla committenza.</w:t>
      </w:r>
    </w:p>
    <w:p w14:paraId="488D204A" w14:textId="77777777" w:rsidR="005F5EDA" w:rsidRPr="005F5EDA" w:rsidRDefault="005F5EDA" w:rsidP="005F5ED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noProof/>
          <w:color w:val="333333"/>
          <w:sz w:val="24"/>
          <w:szCs w:val="24"/>
          <w:lang w:eastAsia="it-IT"/>
        </w:rPr>
        <w:drawing>
          <wp:inline distT="0" distB="0" distL="0" distR="0" wp14:anchorId="26CB1D21" wp14:editId="5929502E">
            <wp:extent cx="8286750" cy="7620000"/>
            <wp:effectExtent l="0" t="0" r="0" b="0"/>
            <wp:docPr id="1" name="Immagine 1" descr="Mappa interattiva del Superbonus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 interattiva del Superbonus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hyperlink r:id="rId6" w:anchor="uno" w:tooltip="A - Interventi di miglioramento sismico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A - Interventi di miglioramento sismico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7" w:anchor="due" w:tooltip="B - Isolamento dell'involucro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B - Isolamento dell'involucro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8" w:anchor="tre" w:tooltip="C - Cambio impianto con nuova caldaia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C - Cambio impianto con nuova caldaia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9" w:anchor="quattro" w:tooltip="D - Cambio impianto con pompa di calore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D - Cambio impianto con pompa di calore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0" w:anchor="cinque" w:tooltip="E - Collettori solari termici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E - Collettori solari termici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1" w:anchor="sei" w:tooltip="F - Colonnine di ricarica per veicoli elettrici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F - Colonnine di ricarica per veicoli elettrici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2" w:anchor="sette" w:tooltip="G - Installazione di pannelli fotovoltaici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G - Installazione di pannelli fotovoltaici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3" w:anchor="otto" w:tooltip="H - Sostituzione serramenti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H - Sostituzione serramenti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4" w:anchor="nove" w:tooltip="I - Schermature mobili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I - Schermature mobili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5" w:anchor="dieci" w:tooltip="L - Cambio impianto autonomo con nuova caldaia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L - Cambio impianto autonomo con nuova caldaia</w:t>
        </w:r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  </w:t>
      </w:r>
      <w:hyperlink r:id="rId16" w:anchor="undici" w:tooltip="M - Building automation" w:history="1"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 xml:space="preserve">M - Building </w:t>
        </w:r>
        <w:proofErr w:type="spellStart"/>
        <w:r w:rsidRPr="005F5EDA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lang w:eastAsia="it-IT"/>
          </w:rPr>
          <w:t>automation</w:t>
        </w:r>
        <w:proofErr w:type="spellEnd"/>
      </w:hyperlink>
      <w:r w:rsidRPr="005F5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;</w:t>
      </w:r>
    </w:p>
    <w:p w14:paraId="691C89FA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14:paraId="06E62686" w14:textId="77777777" w:rsidR="005F5EDA" w:rsidRPr="005F5EDA" w:rsidRDefault="005F5EDA" w:rsidP="005F5EDA">
      <w:pPr>
        <w:shd w:val="clear" w:color="auto" w:fill="FFFFFF"/>
        <w:spacing w:before="150" w:after="0" w:line="480" w:lineRule="atLeast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</w:pPr>
      <w:r w:rsidRPr="005F5EDA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  <w:t>Chi sono i beneficiari del Superbonus 110%?</w:t>
      </w:r>
    </w:p>
    <w:p w14:paraId="466088F8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Prima di analizzare quali lavori sono ammessi al Superbonus vediamo chi può usufruire della detrazione Superbonus 110%. Nel testo del DL 34/2020 e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ai commi 9 e 10 si indicano quali beneficiari:  </w:t>
      </w:r>
    </w:p>
    <w:p w14:paraId="007364F8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condomini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14:paraId="65F52D85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Persone fisiche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al di fuori dell’esercizio di attività di impresa per lavori eseguiti sulle parti comuni, per la messa in sicurezza sismica, per l’installazione di colonnine di ricarica e di pannelli fotovoltaici. Nel caso di interventi di miglioramento energetico (commi 1-2-3 del Decreto) eseguiti da persone fisiche su singole unità immobiliari, è possibile ottenere la detrazione per un </w:t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massimo di due unità immobiliari per richiedente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09E046B3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IACP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Istituti Autonomi Case Popolari;</w:t>
      </w:r>
    </w:p>
    <w:p w14:paraId="7C04F7DF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Cooperative abitative;</w:t>
      </w:r>
    </w:p>
    <w:p w14:paraId="65A624B7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Organizzazioni non lucrative di utilità sociale e organizzazioni di volontariato</w:t>
      </w:r>
    </w:p>
    <w:p w14:paraId="31DB6051" w14:textId="77777777" w:rsidR="005F5EDA" w:rsidRPr="005F5EDA" w:rsidRDefault="005F5EDA" w:rsidP="005F5E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Associazioni e società sportive dilettantistiche</w:t>
      </w:r>
    </w:p>
    <w:p w14:paraId="480AC31D" w14:textId="77777777" w:rsidR="005F5EDA" w:rsidRPr="005F5EDA" w:rsidRDefault="005F5EDA" w:rsidP="00F96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5FEC1882" w14:textId="77777777" w:rsidR="005F5EDA" w:rsidRPr="005F5EDA" w:rsidRDefault="005F5EDA" w:rsidP="00F9609D">
      <w:pPr>
        <w:shd w:val="clear" w:color="auto" w:fill="0976AA"/>
        <w:spacing w:after="0" w:line="432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  <w:t>SUPERBONUS E SISMABONUS 110%</w:t>
      </w:r>
    </w:p>
    <w:p w14:paraId="7F751F6B" w14:textId="77777777" w:rsidR="005F5EDA" w:rsidRPr="005F5EDA" w:rsidRDefault="005F5EDA" w:rsidP="005F5EDA">
      <w:pPr>
        <w:shd w:val="clear" w:color="auto" w:fill="0976AA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FFFFFF"/>
          <w:sz w:val="24"/>
          <w:szCs w:val="24"/>
          <w:lang w:eastAsia="it-IT"/>
        </w:rPr>
        <w:t>I lavori di messa in sicurezza sismica possono accedere al Superbonus 110% nel rispetto dei requisiti indicati nelle Norme Tecniche per le Costruzioni. </w:t>
      </w:r>
    </w:p>
    <w:p w14:paraId="4B43572A" w14:textId="77777777" w:rsidR="005F5EDA" w:rsidRPr="005F5EDA" w:rsidRDefault="005F5EDA" w:rsidP="005F5EDA">
      <w:pPr>
        <w:shd w:val="clear" w:color="auto" w:fill="0976AA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A</w:t>
      </w:r>
    </w:p>
    <w:p w14:paraId="7173B382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INTERVENTI DI MIGLIORAMENTO SISMICO</w:t>
      </w:r>
    </w:p>
    <w:p w14:paraId="7EBA667A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Art.119 comma 4 - DL 63/2013 Art.16</w:t>
      </w:r>
    </w:p>
    <w:p w14:paraId="4FFA5805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interventi locali o lavori che interessano l'intera struttura per il miglioramento o l'adeguamento sismico.</w:t>
      </w:r>
    </w:p>
    <w:p w14:paraId="520FA1D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96.000 € per unità immobiliare (DL 63/2013).</w:t>
      </w:r>
    </w:p>
    <w:p w14:paraId="3CC08FC5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42584A2A" w14:textId="77777777" w:rsidR="005F5EDA" w:rsidRPr="005F5EDA" w:rsidRDefault="005F5EDA" w:rsidP="005F5EDA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valutazione della Classe di Rischio Sismico deve rispettare le indicazioni delle Linee Guida di cui all'Allegato A del DM 58/2017.</w:t>
      </w:r>
    </w:p>
    <w:p w14:paraId="5021FFAE" w14:textId="77777777" w:rsidR="005F5EDA" w:rsidRPr="005F5EDA" w:rsidRDefault="005F5EDA" w:rsidP="005F5EDA">
      <w:pPr>
        <w:numPr>
          <w:ilvl w:val="0"/>
          <w:numId w:val="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progetto degli interventi deve rispettare le Norme Tecniche per le Costruzioni.</w:t>
      </w:r>
    </w:p>
    <w:p w14:paraId="435A888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0335A155" w14:textId="77777777" w:rsidR="005F5EDA" w:rsidRPr="005F5EDA" w:rsidRDefault="005F5EDA" w:rsidP="005F5EDA">
      <w:pPr>
        <w:numPr>
          <w:ilvl w:val="0"/>
          <w:numId w:val="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detrazioni fiscali si applicano agli interventi realizzati nei comuni classificati in zona sismica 1, 2 o 3 secondo l'OPCM 3274/2003 e i successivi aggiornamenti regionali.</w:t>
      </w:r>
    </w:p>
    <w:p w14:paraId="3B7AE304" w14:textId="77777777" w:rsidR="005F5EDA" w:rsidRPr="005F5EDA" w:rsidRDefault="005F5EDA" w:rsidP="005F5EDA">
      <w:pPr>
        <w:numPr>
          <w:ilvl w:val="0"/>
          <w:numId w:val="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 limite di spesa rientrano le valutazioni e le indagini necessarie a definire la Classe di Rischio Sismico per la struttura allo Stato di Fatto.</w:t>
      </w:r>
    </w:p>
    <w:p w14:paraId="7463DF94" w14:textId="77777777" w:rsidR="005F5EDA" w:rsidRPr="005F5EDA" w:rsidRDefault="005F5EDA" w:rsidP="005F5EDA">
      <w:pPr>
        <w:numPr>
          <w:ilvl w:val="0"/>
          <w:numId w:val="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riconosciute nella stessa aliquota anche le spese per la realizzazione di sistemi di monitoraggio strutturale.</w:t>
      </w:r>
    </w:p>
    <w:p w14:paraId="36851A6A" w14:textId="77777777" w:rsidR="005F5EDA" w:rsidRPr="005F5EDA" w:rsidRDefault="005F5EDA" w:rsidP="005F5EDA">
      <w:pPr>
        <w:numPr>
          <w:ilvl w:val="0"/>
          <w:numId w:val="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pratica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Sismabonus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il Superbonus deve essere consegnata contestualmente alla SCIA o al Permesso di Costruire e prevede l'Allegato B del DM 58/2017 e le relazioni in esso citate.</w:t>
      </w:r>
    </w:p>
    <w:p w14:paraId="2B5332D8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31D2563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6D437731" w14:textId="77777777" w:rsidR="005F5EDA" w:rsidRPr="005F5EDA" w:rsidRDefault="00531572" w:rsidP="005F5EDA">
      <w:pPr>
        <w:shd w:val="clear" w:color="auto" w:fill="F5F5F5"/>
        <w:spacing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hyperlink r:id="rId17" w:tooltip="software per superbonus" w:history="1">
        <w:r w:rsidR="005F5EDA" w:rsidRPr="005F5EDA">
          <w:rPr>
            <w:rFonts w:ascii="Verdana" w:eastAsia="Times New Roman" w:hAnsi="Verdana" w:cs="Arial"/>
            <w:b/>
            <w:bCs/>
            <w:color w:val="FFFFFF"/>
            <w:sz w:val="30"/>
            <w:szCs w:val="30"/>
            <w:bdr w:val="none" w:sz="0" w:space="0" w:color="auto" w:frame="1"/>
            <w:lang w:eastAsia="it-IT"/>
          </w:rPr>
          <w:t>Scopri i software per ottenere il Superbonus 110%</w:t>
        </w:r>
      </w:hyperlink>
    </w:p>
    <w:p w14:paraId="50407781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54356E7F" w14:textId="77777777" w:rsidR="005F5EDA" w:rsidRPr="005F5EDA" w:rsidRDefault="005F5EDA" w:rsidP="005F5EDA">
      <w:pPr>
        <w:shd w:val="clear" w:color="auto" w:fill="099739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  <w:t>SUPERBONUS ED ECOBONUS 110%</w:t>
      </w:r>
    </w:p>
    <w:p w14:paraId="20DCE7CA" w14:textId="77777777" w:rsidR="005F5EDA" w:rsidRPr="005F5EDA" w:rsidRDefault="005F5EDA" w:rsidP="005F5EDA">
      <w:pPr>
        <w:shd w:val="clear" w:color="auto" w:fill="099739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FFFFFF"/>
          <w:sz w:val="24"/>
          <w:szCs w:val="24"/>
          <w:lang w:eastAsia="it-IT"/>
        </w:rPr>
        <w:t>In questa guida suddividiamo i lavori in principali e subordinati. Ecco i primi: sarà necessario eseguire almeno uno dei seguenti lavori per accedere al Superbonus 110% sulla riqualificazione energetica. </w:t>
      </w:r>
    </w:p>
    <w:p w14:paraId="55B4E834" w14:textId="77777777" w:rsidR="005F5EDA" w:rsidRPr="005F5EDA" w:rsidRDefault="005F5EDA" w:rsidP="005F5EDA">
      <w:pPr>
        <w:shd w:val="clear" w:color="auto" w:fill="099739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B</w:t>
      </w:r>
    </w:p>
    <w:p w14:paraId="183CF918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ISOLAMENTO DELL'INVOLUCRO</w:t>
      </w:r>
    </w:p>
    <w:p w14:paraId="762CDE4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Art.119 comma 1a)</w:t>
      </w:r>
    </w:p>
    <w:p w14:paraId="3257BAA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 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isolamento delle strutture opache verticali o orizzontali per almeno il 25% della superficie disperdente dell'edificio.</w:t>
      </w:r>
    </w:p>
    <w:p w14:paraId="6AA0A4D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spesa:</w:t>
      </w:r>
    </w:p>
    <w:p w14:paraId="2FE15FFE" w14:textId="77777777" w:rsidR="005F5EDA" w:rsidRPr="005F5EDA" w:rsidRDefault="005F5EDA" w:rsidP="005F5EDA">
      <w:pPr>
        <w:numPr>
          <w:ilvl w:val="0"/>
          <w:numId w:val="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50.000 € per unità immobiliare unifamiliare</w:t>
      </w:r>
    </w:p>
    <w:p w14:paraId="742C6578" w14:textId="77777777" w:rsidR="005F5EDA" w:rsidRPr="005F5EDA" w:rsidRDefault="005F5EDA" w:rsidP="005F5EDA">
      <w:pPr>
        <w:numPr>
          <w:ilvl w:val="0"/>
          <w:numId w:val="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40.000 € per unità immobiliare in condomini fino a 8 UI</w:t>
      </w:r>
    </w:p>
    <w:p w14:paraId="663D9065" w14:textId="77777777" w:rsidR="005F5EDA" w:rsidRPr="005F5EDA" w:rsidRDefault="005F5EDA" w:rsidP="005F5EDA">
      <w:pPr>
        <w:numPr>
          <w:ilvl w:val="0"/>
          <w:numId w:val="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30.000 € per unità immobiliare in condomini oltre 8 UI</w:t>
      </w:r>
    </w:p>
    <w:p w14:paraId="62D970C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4AC9107C" w14:textId="77777777" w:rsidR="005F5EDA" w:rsidRPr="005F5EDA" w:rsidRDefault="005F5EDA" w:rsidP="005F5EDA">
      <w:pPr>
        <w:numPr>
          <w:ilvl w:val="0"/>
          <w:numId w:val="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progetto di riqualificazione deve rispettare tutti i requisiti richiesti dal DM 26/06/2015, in relazione alla categoria dei lavori - ristrutturazione importante di primo livello, ristrutturazione importante di secondo livello, riqualificazione energetica.</w:t>
      </w:r>
    </w:p>
    <w:p w14:paraId="1E8A3EBD" w14:textId="77777777" w:rsidR="005F5EDA" w:rsidRPr="005F5EDA" w:rsidRDefault="005F5EDA" w:rsidP="005F5EDA">
      <w:pPr>
        <w:numPr>
          <w:ilvl w:val="0"/>
          <w:numId w:val="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valori di trasmittanza delle strutture devono rispettare quanto indicato dal DM 26/01/2010.</w:t>
      </w:r>
    </w:p>
    <w:p w14:paraId="38959C65" w14:textId="77777777" w:rsidR="005F5EDA" w:rsidRPr="005F5EDA" w:rsidRDefault="005F5EDA" w:rsidP="005F5EDA">
      <w:pPr>
        <w:numPr>
          <w:ilvl w:val="0"/>
          <w:numId w:val="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necessario eseguire la verifica di formazione di muffa nei ponti termici.</w:t>
      </w:r>
    </w:p>
    <w:p w14:paraId="5E9DB052" w14:textId="77777777" w:rsidR="005F5EDA" w:rsidRPr="005F5EDA" w:rsidRDefault="005F5EDA" w:rsidP="005F5EDA">
      <w:pPr>
        <w:numPr>
          <w:ilvl w:val="0"/>
          <w:numId w:val="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materiale isolante utilizzato deve rispettare i requisiti indicati dai CAM (Criteri Ambientali Minimi)</w:t>
      </w:r>
    </w:p>
    <w:p w14:paraId="62822DA0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371D4C49" w14:textId="77777777" w:rsidR="005F5EDA" w:rsidRPr="005F5EDA" w:rsidRDefault="005F5EDA" w:rsidP="005F5EDA">
      <w:pPr>
        <w:numPr>
          <w:ilvl w:val="0"/>
          <w:numId w:val="6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L’isolamento può avvenire tramite cappotto esterno,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insufflaggio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cappotto interno.</w:t>
      </w:r>
    </w:p>
    <w:p w14:paraId="7A045B57" w14:textId="77777777" w:rsidR="005F5EDA" w:rsidRPr="005F5EDA" w:rsidRDefault="005F5EDA" w:rsidP="005F5EDA">
      <w:pPr>
        <w:numPr>
          <w:ilvl w:val="0"/>
          <w:numId w:val="6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inclusi solo gli elementi che delimitano il volume climatizzato. </w:t>
      </w:r>
    </w:p>
    <w:p w14:paraId="14311C1C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3B100942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713FED75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3C85A275" w14:textId="77777777" w:rsidR="005F5EDA" w:rsidRPr="005F5EDA" w:rsidRDefault="005F5EDA" w:rsidP="005F5EDA">
      <w:pPr>
        <w:shd w:val="clear" w:color="auto" w:fill="099739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C</w:t>
      </w:r>
    </w:p>
    <w:p w14:paraId="6DB62D34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CAMBIO IMPIANTO CON NUOVA CALDAIA A CONDENSAZIONE CENTRALIZZATA O IN UNITÀ UNIFAMILIARI E VILLETTE A SCHIERA</w:t>
      </w:r>
    </w:p>
    <w:p w14:paraId="00F127C5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Art.119 comma 1b) comma 1c)</w:t>
      </w:r>
    </w:p>
    <w:p w14:paraId="3E8F580E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sostituzione degli impianti di climatizzazione invernale esistenti con impianti per il riscaldamento, il raffrescamento o la fornitura di acqua calda sanitaria a condensazione</w:t>
      </w:r>
    </w:p>
    <w:p w14:paraId="1C31E05D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spesa:</w:t>
      </w:r>
    </w:p>
    <w:p w14:paraId="40791578" w14:textId="77777777" w:rsidR="005F5EDA" w:rsidRPr="005F5EDA" w:rsidRDefault="005F5EDA" w:rsidP="005F5EDA">
      <w:pPr>
        <w:numPr>
          <w:ilvl w:val="0"/>
          <w:numId w:val="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30.000 € per unità unifamiliare</w:t>
      </w:r>
    </w:p>
    <w:p w14:paraId="00397397" w14:textId="77777777" w:rsidR="005F5EDA" w:rsidRPr="005F5EDA" w:rsidRDefault="005F5EDA" w:rsidP="005F5EDA">
      <w:pPr>
        <w:numPr>
          <w:ilvl w:val="0"/>
          <w:numId w:val="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20.000 € per unità immobiliare in condomini fino a 8 UI</w:t>
      </w:r>
    </w:p>
    <w:p w14:paraId="371416E9" w14:textId="77777777" w:rsidR="005F5EDA" w:rsidRPr="005F5EDA" w:rsidRDefault="005F5EDA" w:rsidP="005F5EDA">
      <w:pPr>
        <w:numPr>
          <w:ilvl w:val="0"/>
          <w:numId w:val="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15.000 € per unità immobiliare in condomini oltre 8 UI</w:t>
      </w:r>
    </w:p>
    <w:p w14:paraId="18BFC52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0FFC6A74" w14:textId="77777777" w:rsidR="005F5EDA" w:rsidRPr="005F5EDA" w:rsidRDefault="005F5EDA" w:rsidP="005F5EDA">
      <w:pPr>
        <w:numPr>
          <w:ilvl w:val="0"/>
          <w:numId w:val="8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della nuova caldaia a condensazione almeno pari alla classe A di prodotto prevista dal regolamento delegato (UE) n. 811/2013 della Commissione del 18 febbraio 2013</w:t>
      </w:r>
    </w:p>
    <w:p w14:paraId="618C9777" w14:textId="77777777" w:rsidR="005F5EDA" w:rsidRPr="005F5EDA" w:rsidRDefault="005F5EDA" w:rsidP="005F5EDA">
      <w:pPr>
        <w:numPr>
          <w:ilvl w:val="0"/>
          <w:numId w:val="8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 generatore deve rispettare quanto indicato dal DM 26/06/2015</w:t>
      </w:r>
    </w:p>
    <w:p w14:paraId="699B9A5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117C6A26" w14:textId="77777777" w:rsidR="005F5EDA" w:rsidRPr="005F5EDA" w:rsidRDefault="005F5EDA" w:rsidP="005F5EDA">
      <w:pPr>
        <w:numPr>
          <w:ilvl w:val="0"/>
          <w:numId w:val="9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sostituzione con una nuova caldaia a condensazione è un intervento principale per il Superbonus 110% solo in edifici condominiali, in edifici unifamiliari o unità immobiliari in edifici plurifamiliari funzionalmente indipendenti e con accesso dall’esterno.</w:t>
      </w:r>
    </w:p>
    <w:p w14:paraId="6D010147" w14:textId="77777777" w:rsidR="005F5EDA" w:rsidRPr="005F5EDA" w:rsidRDefault="005F5EDA" w:rsidP="005F5EDA">
      <w:pPr>
        <w:numPr>
          <w:ilvl w:val="0"/>
          <w:numId w:val="9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L'incentivo riguarda solo i lavori eseguiti per il servizio di riscaldamento.</w:t>
      </w:r>
    </w:p>
    <w:p w14:paraId="5A9AF9F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0673D48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24AD963D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32696F6A" w14:textId="77777777" w:rsidR="005F5EDA" w:rsidRPr="005F5EDA" w:rsidRDefault="005F5EDA" w:rsidP="005F5EDA">
      <w:pPr>
        <w:shd w:val="clear" w:color="auto" w:fill="099739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D</w:t>
      </w:r>
    </w:p>
    <w:p w14:paraId="11E3F367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CAMBIO IMPIANTO CON POMPA DI CALORE O MICROCOGENERATORE, TELERISCALDAMENTO, BIOMASSE</w:t>
      </w:r>
    </w:p>
    <w:p w14:paraId="70FD6B3D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1b) e Art 119 comma 1c)</w:t>
      </w:r>
    </w:p>
    <w:p w14:paraId="4508058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intervento di sostituzione degli impianti di climatizzazione invernale esistenti con impianti a pompa di calore, anche ibrida o geotermica, o microcogenerazione, teleriscaldamento e biomasse.</w:t>
      </w:r>
    </w:p>
    <w:p w14:paraId="5FC934B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spesa:</w:t>
      </w:r>
    </w:p>
    <w:p w14:paraId="44F7D8B9" w14:textId="77777777" w:rsidR="005F5EDA" w:rsidRPr="005F5EDA" w:rsidRDefault="005F5EDA" w:rsidP="005F5EDA">
      <w:pPr>
        <w:numPr>
          <w:ilvl w:val="0"/>
          <w:numId w:val="10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30.000 € per unità unifamiliare</w:t>
      </w:r>
    </w:p>
    <w:p w14:paraId="73420A4B" w14:textId="77777777" w:rsidR="005F5EDA" w:rsidRPr="005F5EDA" w:rsidRDefault="005F5EDA" w:rsidP="005F5EDA">
      <w:pPr>
        <w:numPr>
          <w:ilvl w:val="0"/>
          <w:numId w:val="10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20.000 € per unità immobiliare in condomini fino a 8 UI</w:t>
      </w:r>
    </w:p>
    <w:p w14:paraId="4791DE53" w14:textId="77777777" w:rsidR="005F5EDA" w:rsidRPr="005F5EDA" w:rsidRDefault="005F5EDA" w:rsidP="005F5EDA">
      <w:pPr>
        <w:numPr>
          <w:ilvl w:val="0"/>
          <w:numId w:val="10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15.000 € per unità immobiliare in condomini oltre 8 UI</w:t>
      </w:r>
    </w:p>
    <w:p w14:paraId="420AF26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3901B0CF" w14:textId="77777777" w:rsidR="005F5EDA" w:rsidRPr="005F5EDA" w:rsidRDefault="005F5EDA" w:rsidP="005F5EDA">
      <w:pPr>
        <w:numPr>
          <w:ilvl w:val="0"/>
          <w:numId w:val="11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 nuovo impianto deve rispettare quanto indicato dal DM 26/06/2015</w:t>
      </w:r>
    </w:p>
    <w:p w14:paraId="10E8BDC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4BC6620D" w14:textId="77777777" w:rsidR="005F5EDA" w:rsidRPr="005F5EDA" w:rsidRDefault="005F5EDA" w:rsidP="005F5EDA">
      <w:pPr>
        <w:numPr>
          <w:ilvl w:val="0"/>
          <w:numId w:val="1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sostituzione con pompa di calore o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microcogeneratore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può riguardare condomini centralizzati oppure edifici unifamiliari o unità immobiliari in edifici plurifamiliari funzionalmente indipendenti e con accesso dall’esterno.</w:t>
      </w:r>
    </w:p>
    <w:p w14:paraId="14AC5AE0" w14:textId="77777777" w:rsidR="005F5EDA" w:rsidRPr="005F5EDA" w:rsidRDefault="005F5EDA" w:rsidP="005F5EDA">
      <w:pPr>
        <w:numPr>
          <w:ilvl w:val="0"/>
          <w:numId w:val="1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nuova pompa di calore che può fornire energia per i servizi di riscaldamento, raffrescamento e ACS deve obbligatoriamente modificare quanto previsto per il servizio di riscaldamento degli ambienti esistente. </w:t>
      </w:r>
    </w:p>
    <w:p w14:paraId="33270829" w14:textId="77777777" w:rsidR="005F5EDA" w:rsidRPr="005F5EDA" w:rsidRDefault="005F5EDA" w:rsidP="005F5EDA">
      <w:pPr>
        <w:numPr>
          <w:ilvl w:val="0"/>
          <w:numId w:val="1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è ammesso al Superbonus 110% l'installazione o la sostituzione di un generatore esclusivamente utilizzato per raffrescamento degli ambienti (ad esempio il condizionatore)</w:t>
      </w:r>
    </w:p>
    <w:p w14:paraId="7B70DCFD" w14:textId="77777777" w:rsidR="005F5EDA" w:rsidRPr="005F5EDA" w:rsidRDefault="005F5EDA" w:rsidP="005F5EDA">
      <w:pPr>
        <w:numPr>
          <w:ilvl w:val="0"/>
          <w:numId w:val="1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sostituzione dell’impianto con teleriscaldamento o biomasse è ammessa unicamente in comuni non metanizzati e non rientranti nelle procedure di infrazione dell’UE sulle emissioni di PM 10.</w:t>
      </w:r>
    </w:p>
    <w:p w14:paraId="33DADCC8" w14:textId="77777777" w:rsidR="005F5EDA" w:rsidRPr="005F5EDA" w:rsidRDefault="005F5EDA" w:rsidP="005F5EDA">
      <w:pPr>
        <w:numPr>
          <w:ilvl w:val="0"/>
          <w:numId w:val="1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sostituzione con impianti a biomassa è ammessa unicamente per unità unifamiliari o unità in edifici plurifamiliari funzionalmente indipendenti e con accesso dall’esterno.</w:t>
      </w:r>
    </w:p>
    <w:p w14:paraId="6E54BCB2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43D7E2EA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4C28F45D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5A3366F4" w14:textId="77777777" w:rsidR="005F5EDA" w:rsidRPr="005F5EDA" w:rsidRDefault="005F5EDA" w:rsidP="005F5EDA">
      <w:pPr>
        <w:shd w:val="clear" w:color="auto" w:fill="099739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E</w:t>
      </w:r>
    </w:p>
    <w:p w14:paraId="01019050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COLLETTORI SOLARI TERMICI</w:t>
      </w:r>
    </w:p>
    <w:p w14:paraId="3409EF3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1b) e Art 119 comma 1c)</w:t>
      </w:r>
    </w:p>
    <w:p w14:paraId="7C2B7DAD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intervento di sostituzione degli impianti di climatizzazione invernale esistenti con impianti a collettori solari termici</w:t>
      </w:r>
    </w:p>
    <w:p w14:paraId="2B8159FC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spesa:</w:t>
      </w:r>
    </w:p>
    <w:p w14:paraId="1C65EBA5" w14:textId="77777777" w:rsidR="005F5EDA" w:rsidRPr="005F5EDA" w:rsidRDefault="005F5EDA" w:rsidP="005F5EDA">
      <w:pPr>
        <w:numPr>
          <w:ilvl w:val="0"/>
          <w:numId w:val="1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30.000 € per unità unifamiliare</w:t>
      </w:r>
    </w:p>
    <w:p w14:paraId="0D0DDD48" w14:textId="77777777" w:rsidR="005F5EDA" w:rsidRPr="005F5EDA" w:rsidRDefault="005F5EDA" w:rsidP="005F5EDA">
      <w:pPr>
        <w:numPr>
          <w:ilvl w:val="0"/>
          <w:numId w:val="1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20.000 € per unità immobiliare in condomini fino a 8 UI</w:t>
      </w:r>
    </w:p>
    <w:p w14:paraId="67EEB971" w14:textId="77777777" w:rsidR="005F5EDA" w:rsidRPr="005F5EDA" w:rsidRDefault="005F5EDA" w:rsidP="005F5EDA">
      <w:pPr>
        <w:numPr>
          <w:ilvl w:val="0"/>
          <w:numId w:val="1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15.000 € per unità immobiliare in condomini oltre 8 UI</w:t>
      </w:r>
    </w:p>
    <w:p w14:paraId="4C4D1D4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45694F50" w14:textId="77777777" w:rsidR="005F5EDA" w:rsidRPr="005F5EDA" w:rsidRDefault="005F5EDA" w:rsidP="005F5EDA">
      <w:pPr>
        <w:numPr>
          <w:ilvl w:val="0"/>
          <w:numId w:val="1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 nuovo impianto deve rispettare quanto indicato dal DM 26/06/2015</w:t>
      </w:r>
    </w:p>
    <w:p w14:paraId="7414891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52DB9603" w14:textId="77777777" w:rsidR="005F5EDA" w:rsidRPr="005F5EDA" w:rsidRDefault="005F5EDA" w:rsidP="005F5EDA">
      <w:pPr>
        <w:numPr>
          <w:ilvl w:val="0"/>
          <w:numId w:val="1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sostituzione con impianti a collettori solari in edifici centralizzati oppure edifici unifamiliari o unità immobiliari in edifici plurifamiliari funzionalmente indipendenti e con accesso dall’esterno.</w:t>
      </w:r>
    </w:p>
    <w:p w14:paraId="4D16D186" w14:textId="77777777" w:rsidR="005F5EDA" w:rsidRPr="005F5EDA" w:rsidRDefault="005F5EDA" w:rsidP="005F5EDA">
      <w:pPr>
        <w:numPr>
          <w:ilvl w:val="0"/>
          <w:numId w:val="1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 le spese incentivabili anche i costi iniziali per la richiesta di potenza addizionale fino ad un massimo di 7 kW.</w:t>
      </w:r>
    </w:p>
    <w:p w14:paraId="7F70D2C0" w14:textId="77777777" w:rsidR="005F5EDA" w:rsidRPr="005F5EDA" w:rsidRDefault="005F5EDA" w:rsidP="005F5EDA">
      <w:pPr>
        <w:numPr>
          <w:ilvl w:val="0"/>
          <w:numId w:val="1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collettore solare deve essere asservito al riscaldamento degli ambienti.</w:t>
      </w:r>
    </w:p>
    <w:p w14:paraId="2651FE1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328EB42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27A2A559" w14:textId="77777777" w:rsidR="005F5EDA" w:rsidRPr="005F5EDA" w:rsidRDefault="00531572" w:rsidP="005F5EDA">
      <w:pPr>
        <w:shd w:val="clear" w:color="auto" w:fill="F5F5F5"/>
        <w:spacing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hyperlink r:id="rId18" w:tooltip="software per superbonus" w:history="1">
        <w:r w:rsidR="005F5EDA" w:rsidRPr="005F5EDA">
          <w:rPr>
            <w:rFonts w:ascii="Verdana" w:eastAsia="Times New Roman" w:hAnsi="Verdana" w:cs="Arial"/>
            <w:b/>
            <w:bCs/>
            <w:color w:val="FFFFFF"/>
            <w:sz w:val="30"/>
            <w:szCs w:val="30"/>
            <w:bdr w:val="none" w:sz="0" w:space="0" w:color="auto" w:frame="1"/>
            <w:lang w:eastAsia="it-IT"/>
          </w:rPr>
          <w:t>Scopri i software per ottenere il Superbonus 110%</w:t>
        </w:r>
      </w:hyperlink>
    </w:p>
    <w:p w14:paraId="25AE0500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20029749" w14:textId="77777777" w:rsidR="005F5EDA" w:rsidRPr="005F5EDA" w:rsidRDefault="005F5EDA" w:rsidP="005F5EDA">
      <w:pPr>
        <w:shd w:val="clear" w:color="auto" w:fill="F98435"/>
        <w:spacing w:after="0" w:line="432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FFFFFF"/>
          <w:sz w:val="36"/>
          <w:szCs w:val="36"/>
          <w:lang w:eastAsia="it-IT"/>
        </w:rPr>
        <w:t>SUPERBONUS 110%: INTERVENTI TRAINATI</w:t>
      </w:r>
    </w:p>
    <w:p w14:paraId="1E728D89" w14:textId="77777777" w:rsidR="005F5EDA" w:rsidRPr="005F5EDA" w:rsidRDefault="005F5EDA" w:rsidP="005F5EDA">
      <w:pPr>
        <w:shd w:val="clear" w:color="auto" w:fill="F98435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FFFFFF"/>
          <w:sz w:val="24"/>
          <w:szCs w:val="24"/>
          <w:lang w:eastAsia="it-IT"/>
        </w:rPr>
        <w:t>Gli interventi trainati sono quei lavori che raggiungono il Superbonus 110% soltanto se eseguiti congiuntamente ad uno dei principali, ad eccezione delle sole colonnine di ricarica. Il salto di due classi energetiche richiesto dal Decreto per l'accesso al bonus 110% può essere valutato comprendendo interventi trainanti e trainati insieme.</w:t>
      </w:r>
    </w:p>
    <w:p w14:paraId="2BAC7539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F</w:t>
      </w:r>
    </w:p>
    <w:p w14:paraId="1219C4E1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COLONNINE DI RICARICA PER VEICOLI ELETTRICI</w:t>
      </w:r>
    </w:p>
    <w:p w14:paraId="01A2B5EC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7. DL 63/2013 Art 16 ter</w:t>
      </w:r>
    </w:p>
    <w:p w14:paraId="5A29CB7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Descrizione dei </w:t>
      </w:r>
      <w:proofErr w:type="spellStart"/>
      <w:proofErr w:type="gramStart"/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installazione</w:t>
      </w:r>
      <w:proofErr w:type="spellEnd"/>
      <w:proofErr w:type="gram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infrastrutture per la ricarica di veicoli elettrici negli edifici.</w:t>
      </w:r>
    </w:p>
    <w:p w14:paraId="106F7EE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detrazione: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3.000 € (dal DL 63/2013)</w:t>
      </w:r>
    </w:p>
    <w:p w14:paraId="2065489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689E209E" w14:textId="77777777" w:rsidR="005F5EDA" w:rsidRPr="005F5EDA" w:rsidRDefault="005F5EDA" w:rsidP="005F5EDA">
      <w:pPr>
        <w:numPr>
          <w:ilvl w:val="0"/>
          <w:numId w:val="16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infrastrutture di ricarica devono essere dotate di uno o più punti di ricarica di potenza standard non accessibili al pubblico</w:t>
      </w:r>
    </w:p>
    <w:p w14:paraId="155638D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27CFA271" w14:textId="77777777" w:rsidR="005F5EDA" w:rsidRPr="005F5EDA" w:rsidRDefault="005F5EDA" w:rsidP="005F5EDA">
      <w:pPr>
        <w:numPr>
          <w:ilvl w:val="0"/>
          <w:numId w:val="1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limiti di spesa e le caratteristiche dell'installato si trovano nel DL 63/2013 citato dal DL 34/2020 e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s.m.i.</w:t>
      </w:r>
      <w:proofErr w:type="spellEnd"/>
    </w:p>
    <w:p w14:paraId="63979913" w14:textId="77777777" w:rsidR="005F5EDA" w:rsidRPr="005F5EDA" w:rsidRDefault="005F5EDA" w:rsidP="005F5EDA">
      <w:pPr>
        <w:numPr>
          <w:ilvl w:val="0"/>
          <w:numId w:val="1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 le spese incentivabili anche i costi iniziali per la richiesta di potenza addizionale fino ad un massimo di 7 kW.</w:t>
      </w:r>
    </w:p>
    <w:p w14:paraId="49D84771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0939963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01447F7F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3BDBD180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G</w:t>
      </w:r>
    </w:p>
    <w:p w14:paraId="7B00F556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INSTALLAZIONE DI PANNELLI FOTOVOLTAICI</w:t>
      </w:r>
    </w:p>
    <w:p w14:paraId="6ED0E7BD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1b) - Art 119 comma 1c) – Art 119 comma 5 - Art 119 comma 6 – Art 119 comma 7</w:t>
      </w:r>
    </w:p>
    <w:p w14:paraId="5F573578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installazione di pannelli solari fotovoltaici in edifici, connessi alla rete elettrica. La detrazione è riconosciuta anche per l'installazione di sistemi di accumulo integrati negli impianti solari fotovoltaici agevolati.</w:t>
      </w:r>
    </w:p>
    <w:p w14:paraId="2FAB2785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detrazione: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48.000 € con limite massimo 2.400 € per ogni kW di potenza nominale.</w:t>
      </w:r>
    </w:p>
    <w:p w14:paraId="5417D482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31406C19" w14:textId="77777777" w:rsidR="005F5EDA" w:rsidRPr="005F5EDA" w:rsidRDefault="005F5EDA" w:rsidP="005F5EDA">
      <w:pPr>
        <w:numPr>
          <w:ilvl w:val="0"/>
          <w:numId w:val="18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L'impianto fotovoltaico incentivato deve riguardare edifici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grid-connected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non può essere applicata su una installazione stand alone.</w:t>
      </w:r>
    </w:p>
    <w:p w14:paraId="0F7FD201" w14:textId="77777777" w:rsidR="005F5EDA" w:rsidRPr="005F5EDA" w:rsidRDefault="005F5EDA" w:rsidP="005F5EDA">
      <w:pPr>
        <w:numPr>
          <w:ilvl w:val="0"/>
          <w:numId w:val="18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L'energia non auto-consumata in sito deve essere ceduta a GSE.</w:t>
      </w:r>
    </w:p>
    <w:p w14:paraId="35A8187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0CBED470" w14:textId="77777777" w:rsidR="005F5EDA" w:rsidRPr="005F5EDA" w:rsidRDefault="005F5EDA" w:rsidP="005F5EDA">
      <w:pPr>
        <w:numPr>
          <w:ilvl w:val="0"/>
          <w:numId w:val="19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L'incentivo non è cumulabile con altri incentivi pubblici o altre forme di agevolazione di qualsiasi natura previste dalla normativa, nazionale e regionale.</w:t>
      </w:r>
    </w:p>
    <w:p w14:paraId="0FE88C4E" w14:textId="77777777" w:rsidR="005F5EDA" w:rsidRPr="005F5EDA" w:rsidRDefault="005F5EDA" w:rsidP="005F5EDA">
      <w:pPr>
        <w:numPr>
          <w:ilvl w:val="0"/>
          <w:numId w:val="19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L'installazione dei sistemi di accumulo può avvenire contestualmente oppure successivamente all'installazione del nuovo impianto fotovoltaico.</w:t>
      </w:r>
    </w:p>
    <w:p w14:paraId="675B47FA" w14:textId="77777777" w:rsidR="005F5EDA" w:rsidRPr="005F5EDA" w:rsidRDefault="005F5EDA" w:rsidP="005F5EDA">
      <w:pPr>
        <w:numPr>
          <w:ilvl w:val="0"/>
          <w:numId w:val="19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solare fotovoltaico può contribuire al salto di due classi richiesto dal Decreto Rilancio per il Superbonus 110%, in misura maggiore se utilizzato in abbinamento a impianti alimentati ad energia elettrica come le pompe di calore.</w:t>
      </w:r>
    </w:p>
    <w:p w14:paraId="33E5322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7AC14D4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64BE20C3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6CFBCACE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H</w:t>
      </w:r>
    </w:p>
    <w:p w14:paraId="12A0253E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SOSTITUZIONE DEI SERRAMENTI</w:t>
      </w:r>
    </w:p>
    <w:p w14:paraId="24C17E4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2 – DL 63/2013 Art 14</w:t>
      </w:r>
    </w:p>
    <w:p w14:paraId="2E168A4A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 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sostituzione dei serramenti esistenti con prestazioni energetiche rispondenti ai requisiti di norma.</w:t>
      </w:r>
    </w:p>
    <w:p w14:paraId="31C41592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detrazione: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60.000 € (DL 63/2013)</w:t>
      </w:r>
    </w:p>
    <w:p w14:paraId="4A7C4FF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1E148CFA" w14:textId="77777777" w:rsidR="005F5EDA" w:rsidRPr="005F5EDA" w:rsidRDefault="005F5EDA" w:rsidP="005F5EDA">
      <w:pPr>
        <w:numPr>
          <w:ilvl w:val="0"/>
          <w:numId w:val="20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progetto di riqualificazione deve rispettare tutti i requisiti richiesti dal DM 26/06/2015 e in particolare la verifica di trasmittanza e del fattore di schermatura del serramento.</w:t>
      </w:r>
    </w:p>
    <w:p w14:paraId="157108EC" w14:textId="77777777" w:rsidR="005F5EDA" w:rsidRPr="005F5EDA" w:rsidRDefault="005F5EDA" w:rsidP="005F5EDA">
      <w:pPr>
        <w:numPr>
          <w:ilvl w:val="0"/>
          <w:numId w:val="20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valori di trasmittanza delle strutture devono rispettare anche quanto indicato dal DM 26/01/2010.</w:t>
      </w:r>
    </w:p>
    <w:p w14:paraId="2C6FFEC2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5F8D14B8" w14:textId="77777777" w:rsidR="005F5EDA" w:rsidRPr="005F5EDA" w:rsidRDefault="005F5EDA" w:rsidP="005F5EDA">
      <w:pPr>
        <w:numPr>
          <w:ilvl w:val="0"/>
          <w:numId w:val="21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detrazione si applica alle spese per la sostituzione dei serramenti anche comprensive di infissi e schermature solari.</w:t>
      </w:r>
    </w:p>
    <w:p w14:paraId="4260B22E" w14:textId="77777777" w:rsidR="005F5EDA" w:rsidRPr="005F5EDA" w:rsidRDefault="005F5EDA" w:rsidP="005F5EDA">
      <w:pPr>
        <w:numPr>
          <w:ilvl w:val="0"/>
          <w:numId w:val="21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Maggiori indicazioni e chiarimenti relativi alle verifiche richieste dal DM Requisiti Minimi in relazione al fattore di schermatura sono contenuti nella serie di FAQ del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MiSE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sull'APE pubblicate da Agosto 2015 a Dicembre 2018.</w:t>
      </w:r>
    </w:p>
    <w:p w14:paraId="12A078AA" w14:textId="77777777" w:rsidR="005F5EDA" w:rsidRPr="005F5EDA" w:rsidRDefault="005F5EDA" w:rsidP="005F5EDA">
      <w:pPr>
        <w:numPr>
          <w:ilvl w:val="0"/>
          <w:numId w:val="21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sostituzione dei serramenti può contribuire al salto di due classi richiesto dal Decreto Rilancio per il Superbonus 110%. Il contributo è maggiore quanto più ampia è la percentuale di superficie trasparente dell'edificio.</w:t>
      </w:r>
    </w:p>
    <w:p w14:paraId="3141BF1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424CAB1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124BC9F4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008F4526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I</w:t>
      </w:r>
    </w:p>
    <w:p w14:paraId="135C7C6D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SCHERMATURE MOBILI</w:t>
      </w:r>
    </w:p>
    <w:p w14:paraId="5E1E2F39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2 – DL 63/2013 Art 14</w:t>
      </w:r>
    </w:p>
    <w:p w14:paraId="470689F1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installazione di schermature mobili sui serramenti.</w:t>
      </w:r>
    </w:p>
    <w:p w14:paraId="60E6B7D1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detrazione/spesa: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60.000 € (DL 63/2013).</w:t>
      </w:r>
    </w:p>
    <w:p w14:paraId="0E26C1E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7FE9100E" w14:textId="77777777" w:rsidR="005F5EDA" w:rsidRPr="005F5EDA" w:rsidRDefault="005F5EDA" w:rsidP="005F5EDA">
      <w:pPr>
        <w:numPr>
          <w:ilvl w:val="0"/>
          <w:numId w:val="22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schermature mobili devono rispettare i requisiti indicati dal DM Requisiti Minimi.</w:t>
      </w:r>
    </w:p>
    <w:p w14:paraId="2B19ED30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1CAD06E8" w14:textId="77777777" w:rsidR="005F5EDA" w:rsidRPr="005F5EDA" w:rsidRDefault="005F5EDA" w:rsidP="005F5EDA">
      <w:pPr>
        <w:numPr>
          <w:ilvl w:val="0"/>
          <w:numId w:val="2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fattore di schermatura indica la percentuale di irraggiamento solare che attraversa il serramento.</w:t>
      </w:r>
    </w:p>
    <w:p w14:paraId="34EEBC29" w14:textId="77777777" w:rsidR="005F5EDA" w:rsidRPr="005F5EDA" w:rsidRDefault="005F5EDA" w:rsidP="005F5EDA">
      <w:pPr>
        <w:numPr>
          <w:ilvl w:val="0"/>
          <w:numId w:val="23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L'applicazione di schermature mobili può contribuire in misura contenuta al salto di due classi richiesto dal Superbonus del Decreto Rilancio. L'effetto della schermatura mobile è la riduzione dell'apporto solare entrante senza ricadute sostanziali sulle prestazioni termiche.</w:t>
      </w:r>
    </w:p>
    <w:p w14:paraId="45B54E7B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57909980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Condomini: IRPEF e IRES (residenze, alberghi, uffici, negozi, unità produttive, unità commerciali)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Singole unità: IRPEF (residenze, uffici)</w:t>
      </w:r>
    </w:p>
    <w:p w14:paraId="615DB504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62F63B69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L</w:t>
      </w:r>
    </w:p>
    <w:p w14:paraId="1B5206A2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CAMBIO IMPIANTO AUTONOMO IN CONDOMINIO CON NUOVA CALDAIA A CONDENSAZIONE AUTONOMA</w:t>
      </w:r>
    </w:p>
    <w:p w14:paraId="34D54660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2 – DL 63/2013 Art 14</w:t>
      </w:r>
    </w:p>
    <w:p w14:paraId="74F99C5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intervento di sostituzione dell'impianto di climatizzazione esistente con caldaia a condensazione.</w:t>
      </w:r>
    </w:p>
    <w:p w14:paraId="26EF18FC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detrazione: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30.000 €</w:t>
      </w:r>
    </w:p>
    <w:p w14:paraId="3D9E46B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7C0B21FB" w14:textId="77777777" w:rsidR="005F5EDA" w:rsidRPr="005F5EDA" w:rsidRDefault="005F5EDA" w:rsidP="005F5EDA">
      <w:pPr>
        <w:numPr>
          <w:ilvl w:val="0"/>
          <w:numId w:val="2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della nuova caldaia a condensazione almeno pari alla classe A di prodotto prevista dal regolamento delegato (UE) n. 811/2013 della Commissione del 18 febbraio 2013 e sistema di termoregolazione evoluto.</w:t>
      </w:r>
    </w:p>
    <w:p w14:paraId="52239C09" w14:textId="77777777" w:rsidR="005F5EDA" w:rsidRPr="005F5EDA" w:rsidRDefault="005F5EDA" w:rsidP="005F5EDA">
      <w:pPr>
        <w:numPr>
          <w:ilvl w:val="0"/>
          <w:numId w:val="24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L'efficienza del generatore deve rispettare quanto indicato dal DM 26/06/2015</w:t>
      </w:r>
    </w:p>
    <w:p w14:paraId="3B25D6DE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35B0D512" w14:textId="77777777" w:rsidR="005F5EDA" w:rsidRPr="005F5EDA" w:rsidRDefault="005F5EDA" w:rsidP="005F5EDA">
      <w:pPr>
        <w:numPr>
          <w:ilvl w:val="0"/>
          <w:numId w:val="2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L'installazione di una nuova caldaia a condensazione è un intervento principale per il Superbonus solo in edifici condominiali o unifamiliari oppure in unità immobiliari in edifici plurifamiliari funzionalmente indipendenti e con accesso dall’esterno. Nel caso di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termoautonomi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condominio si considera subordinato.</w:t>
      </w:r>
    </w:p>
    <w:p w14:paraId="5BEAE5E2" w14:textId="77777777" w:rsidR="005F5EDA" w:rsidRPr="005F5EDA" w:rsidRDefault="005F5EDA" w:rsidP="005F5EDA">
      <w:pPr>
        <w:numPr>
          <w:ilvl w:val="0"/>
          <w:numId w:val="25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L'incentivo riguarda solo interventi eseguiti per il servizio di riscaldamento.</w:t>
      </w:r>
    </w:p>
    <w:p w14:paraId="5D8200D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5F672DF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IRPEF e IRES (residenze, alberghi, uffici, negozi, unità produttive, unità commerciali)</w:t>
      </w:r>
    </w:p>
    <w:p w14:paraId="145B5239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0E6E00FE" w14:textId="77777777" w:rsidR="005F5EDA" w:rsidRPr="005F5EDA" w:rsidRDefault="005F5EDA" w:rsidP="005F5EDA">
      <w:pPr>
        <w:shd w:val="clear" w:color="auto" w:fill="F98435"/>
        <w:spacing w:after="0" w:line="1440" w:lineRule="atLeast"/>
        <w:jc w:val="center"/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</w:pPr>
      <w:r w:rsidRPr="005F5EDA">
        <w:rPr>
          <w:rFonts w:ascii="Franklin Gothic Medium" w:eastAsia="Times New Roman" w:hAnsi="Franklin Gothic Medium" w:cs="Arial"/>
          <w:b/>
          <w:bCs/>
          <w:caps/>
          <w:color w:val="FFFFFF"/>
          <w:sz w:val="120"/>
          <w:szCs w:val="120"/>
          <w:lang w:eastAsia="it-IT"/>
        </w:rPr>
        <w:t>M</w:t>
      </w:r>
    </w:p>
    <w:p w14:paraId="2D28D12A" w14:textId="77777777" w:rsidR="005F5EDA" w:rsidRPr="005F5EDA" w:rsidRDefault="005F5EDA" w:rsidP="005F5EDA">
      <w:pPr>
        <w:spacing w:before="150" w:after="0" w:line="432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r w:rsidRPr="005F5EDA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  <w:t>BUILDING AUTOMATION</w:t>
      </w:r>
    </w:p>
    <w:p w14:paraId="11ECF747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Riferimento: </w:t>
      </w:r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DL 34/2020 e </w:t>
      </w:r>
      <w:proofErr w:type="spellStart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s.m.i</w:t>
      </w:r>
      <w:proofErr w:type="spellEnd"/>
      <w:r w:rsidRPr="005F5ED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Art 119 comma 2 - DL 63/2013 Art 14 – L 208/2015 Art 1 comma 88</w:t>
      </w:r>
    </w:p>
    <w:p w14:paraId="4AD7090D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Descrizione dei lavori: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installazione e messa in opera di sistemi di Building Automation (BACS), che consentano la gestione automatica personalizzata degli impianti di riscaldamento o produzione di acqua calda sanitaria o di climatizzazione estiva, compreso il loro controllo da remoto attraverso canali multimediali.</w:t>
      </w:r>
    </w:p>
    <w:p w14:paraId="368322A5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Limite di spesa e detrazione: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Nessuno.</w:t>
      </w:r>
    </w:p>
    <w:p w14:paraId="5FD4F57F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Verifiche e requisiti:</w:t>
      </w:r>
    </w:p>
    <w:p w14:paraId="07DAF603" w14:textId="77777777" w:rsidR="005F5EDA" w:rsidRPr="005F5EDA" w:rsidRDefault="005F5EDA" w:rsidP="005F5EDA">
      <w:pPr>
        <w:numPr>
          <w:ilvl w:val="0"/>
          <w:numId w:val="26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dispositivi devono consentire il controllo e la gestione degli impianti da remoto.</w:t>
      </w:r>
    </w:p>
    <w:p w14:paraId="761C81A4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 aggiuntive:</w:t>
      </w:r>
    </w:p>
    <w:p w14:paraId="3EA66564" w14:textId="77777777" w:rsidR="005F5EDA" w:rsidRPr="005F5EDA" w:rsidRDefault="005F5EDA" w:rsidP="005F5EDA">
      <w:pPr>
        <w:numPr>
          <w:ilvl w:val="0"/>
          <w:numId w:val="2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è semplice considerare questo tipo di sistemi nel salto di classe richiesto dal Decreto Rilancio. La norma da applicare per questo caso è la UNI 15232 che indica fattori correttivi sulla prestazione energetica globale.</w:t>
      </w:r>
    </w:p>
    <w:p w14:paraId="108C8E10" w14:textId="77777777" w:rsidR="005F5EDA" w:rsidRPr="005F5EDA" w:rsidRDefault="005F5EDA" w:rsidP="005F5EDA">
      <w:pPr>
        <w:numPr>
          <w:ilvl w:val="0"/>
          <w:numId w:val="2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sono incentivate le spese per gli strumenti di lettura dei dati (tablet o smartphone).</w:t>
      </w:r>
    </w:p>
    <w:p w14:paraId="7B32C264" w14:textId="77777777" w:rsidR="005F5EDA" w:rsidRPr="005F5EDA" w:rsidRDefault="005F5EDA" w:rsidP="005F5EDA">
      <w:pPr>
        <w:numPr>
          <w:ilvl w:val="0"/>
          <w:numId w:val="27"/>
        </w:numPr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spesa per installazione di building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automation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detraibile solo per soggetti IRPEF. </w:t>
      </w:r>
    </w:p>
    <w:p w14:paraId="65587A93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Soggetti interessati:</w:t>
      </w:r>
    </w:p>
    <w:p w14:paraId="0E634A2C" w14:textId="77777777" w:rsidR="005F5EDA" w:rsidRPr="005F5EDA" w:rsidRDefault="005F5EDA" w:rsidP="005F5E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Singole unità e condomini IRPEF (residenze, uffici)</w:t>
      </w:r>
    </w:p>
    <w:p w14:paraId="12213BA0" w14:textId="77777777" w:rsidR="005F5EDA" w:rsidRPr="005F5EDA" w:rsidRDefault="005F5EDA" w:rsidP="005F5EDA">
      <w:pPr>
        <w:shd w:val="clear" w:color="auto" w:fill="FFFFFF"/>
        <w:spacing w:before="150" w:after="0" w:line="480" w:lineRule="atLeast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</w:pPr>
      <w:r w:rsidRPr="005F5EDA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  <w:t>Cessione del credito e sconto in fattura</w:t>
      </w:r>
    </w:p>
    <w:p w14:paraId="1FF92119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L’altra grande novità del Decreto Rilancio è l’estensione della cessione del credito e dello sconto in fattura relativo al credito d’imposta maturato per gli interventi sul patrimonio esistente. Oltre all’aliquota del 110%, questi sono due buoni motivi per riqualificare la propria abitazione, soprattutto per i soggetti a capienza fiscale ridotta sia IRPEF che IRES.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Le opzioni di cessione del credito o di sconto in fattura sono valide per le spese sostenute negli anni 2020 e 2021 per gli interventi di:</w:t>
      </w:r>
    </w:p>
    <w:p w14:paraId="337789DC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recupero del patrimonio edilizio,</w:t>
      </w:r>
    </w:p>
    <w:p w14:paraId="0BF0853B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efficienza energetica,</w:t>
      </w:r>
    </w:p>
    <w:p w14:paraId="2533E6C7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adozione di misure antisismiche,</w:t>
      </w:r>
    </w:p>
    <w:p w14:paraId="53291890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recupero o restauro della facciata,</w:t>
      </w:r>
    </w:p>
    <w:p w14:paraId="6AA035F6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installazione di impianti fotovoltaici,</w:t>
      </w:r>
    </w:p>
    <w:p w14:paraId="1F42FC8E" w14:textId="77777777" w:rsidR="005F5EDA" w:rsidRPr="005F5EDA" w:rsidRDefault="005F5EDA" w:rsidP="005F5EDA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installazione di colonnine.</w:t>
      </w:r>
    </w:p>
    <w:p w14:paraId="67DF936C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Cessione del credito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credito fiscale maturato può essere ceduto ai fornitori che realizzano l’intervento o ad altri soggetti tra cui anche gli istituti di credito o gli intermediari finanziari. Il credito può essere puoi nuovamente ceduto sempre alle stesse tipologie di soggetti.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5F5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Sconto in fattura</w:t>
      </w: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detrazione può essere trasformata in uno sconto in fattura direttamente eseguito dal fornitore che realizza gli interventi, con importo pari al 100% delle spese da sostenere per i lavori. Il fornitore potrà recuperare la quota come credito d’imposta o cedere a sua volta il credito ad una banca o ad un intermediario.</w:t>
      </w:r>
    </w:p>
    <w:p w14:paraId="07278D26" w14:textId="77777777" w:rsidR="005F5EDA" w:rsidRPr="005F5EDA" w:rsidRDefault="005F5EDA" w:rsidP="005F5EDA">
      <w:pPr>
        <w:shd w:val="clear" w:color="auto" w:fill="FFFFFF"/>
        <w:spacing w:before="150" w:after="0" w:line="480" w:lineRule="atLeast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</w:pPr>
      <w:r w:rsidRPr="005F5EDA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it-IT"/>
        </w:rPr>
        <w:t>Cessione del credito e Superbonus: i dati da comunicare all’Agenzia delle Entrate</w:t>
      </w:r>
    </w:p>
    <w:p w14:paraId="135EA866" w14:textId="77777777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professionista dovrà comunicare all’Agenzia delle Entrate per via telematica la cessione del credito. I dati necessari per avviare la procedura sono:</w:t>
      </w:r>
    </w:p>
    <w:p w14:paraId="316F105F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 del beneficiario della detrazione,</w:t>
      </w:r>
    </w:p>
    <w:p w14:paraId="0CD3D2A6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tipo di opzione esercitata (sconto/cessione del credito),</w:t>
      </w:r>
    </w:p>
    <w:p w14:paraId="3544DE61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di sostenimento e importo della spesa,</w:t>
      </w:r>
    </w:p>
    <w:p w14:paraId="2E14124B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ammontare della detrazione spettante,</w:t>
      </w:r>
    </w:p>
    <w:p w14:paraId="530EA608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dati catastali dell’immobile oggetto dell’intervento,</w:t>
      </w:r>
    </w:p>
    <w:p w14:paraId="74045220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 del fornitore che pratica lo sconto oppure del cessionario del credito,</w:t>
      </w:r>
    </w:p>
    <w:p w14:paraId="64CF91EE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fiscale del soggetto che rilascia il visto di conformità,</w:t>
      </w:r>
    </w:p>
    <w:p w14:paraId="0A1E3E7E" w14:textId="77777777" w:rsidR="005F5EDA" w:rsidRPr="005F5EDA" w:rsidRDefault="005F5EDA" w:rsidP="005F5EDA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dichiarazione di verifica della presenza dell’asseverazione “tecnica” e di congruità del prezzo per gli interventi con detrazione al 110 per cento.</w:t>
      </w:r>
    </w:p>
    <w:p w14:paraId="3D2824D3" w14:textId="384E6E70" w:rsidR="005F5EDA" w:rsidRPr="00531572" w:rsidRDefault="005F5EDA" w:rsidP="00531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Infine</w:t>
      </w:r>
      <w:proofErr w:type="gram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dobbiamo ricordare che in caso di </w:t>
      </w:r>
      <w:proofErr w:type="spellStart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Sismabonus</w:t>
      </w:r>
      <w:proofErr w:type="spellEnd"/>
      <w:r w:rsidRPr="005F5E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110%, anche il costo di eventuali polizze assicurative per rischio di eventi calamitosi può essere portato in detrazione al 90%, ma solo se la cessione del credito viene fatta all'impresa assicuratrice con cui si stipula la polizza.</w:t>
      </w:r>
    </w:p>
    <w:p w14:paraId="481983F3" w14:textId="33EF8F63" w:rsidR="005F5EDA" w:rsidRPr="005F5EDA" w:rsidRDefault="005F5EDA" w:rsidP="005F5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13EA83B3" w14:textId="77777777" w:rsidR="00641E7D" w:rsidRDefault="00641E7D"/>
    <w:sectPr w:rsidR="00641E7D" w:rsidSect="000737E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71D"/>
    <w:multiLevelType w:val="multilevel"/>
    <w:tmpl w:val="E4F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6F02"/>
    <w:multiLevelType w:val="multilevel"/>
    <w:tmpl w:val="C3CA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128"/>
    <w:multiLevelType w:val="multilevel"/>
    <w:tmpl w:val="8188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3FEE"/>
    <w:multiLevelType w:val="multilevel"/>
    <w:tmpl w:val="830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2217"/>
    <w:multiLevelType w:val="multilevel"/>
    <w:tmpl w:val="FC1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B5EE5"/>
    <w:multiLevelType w:val="multilevel"/>
    <w:tmpl w:val="836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014F9"/>
    <w:multiLevelType w:val="multilevel"/>
    <w:tmpl w:val="A80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5BA0"/>
    <w:multiLevelType w:val="multilevel"/>
    <w:tmpl w:val="8D5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73314"/>
    <w:multiLevelType w:val="multilevel"/>
    <w:tmpl w:val="928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00529"/>
    <w:multiLevelType w:val="multilevel"/>
    <w:tmpl w:val="485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27D5A"/>
    <w:multiLevelType w:val="multilevel"/>
    <w:tmpl w:val="8B6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13635"/>
    <w:multiLevelType w:val="multilevel"/>
    <w:tmpl w:val="B17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2304A"/>
    <w:multiLevelType w:val="multilevel"/>
    <w:tmpl w:val="636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E21E6"/>
    <w:multiLevelType w:val="multilevel"/>
    <w:tmpl w:val="53D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01564"/>
    <w:multiLevelType w:val="multilevel"/>
    <w:tmpl w:val="875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C69A2"/>
    <w:multiLevelType w:val="multilevel"/>
    <w:tmpl w:val="56B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71546"/>
    <w:multiLevelType w:val="multilevel"/>
    <w:tmpl w:val="B6A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41923"/>
    <w:multiLevelType w:val="multilevel"/>
    <w:tmpl w:val="0CDC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B2EF2"/>
    <w:multiLevelType w:val="multilevel"/>
    <w:tmpl w:val="8B9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65180"/>
    <w:multiLevelType w:val="multilevel"/>
    <w:tmpl w:val="BA6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4690B"/>
    <w:multiLevelType w:val="multilevel"/>
    <w:tmpl w:val="0B2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3185C"/>
    <w:multiLevelType w:val="multilevel"/>
    <w:tmpl w:val="6A1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C6365"/>
    <w:multiLevelType w:val="multilevel"/>
    <w:tmpl w:val="C21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846C2"/>
    <w:multiLevelType w:val="multilevel"/>
    <w:tmpl w:val="712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04FA4"/>
    <w:multiLevelType w:val="multilevel"/>
    <w:tmpl w:val="226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7351C"/>
    <w:multiLevelType w:val="multilevel"/>
    <w:tmpl w:val="671C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C53D7"/>
    <w:multiLevelType w:val="multilevel"/>
    <w:tmpl w:val="33B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310B4"/>
    <w:multiLevelType w:val="multilevel"/>
    <w:tmpl w:val="F82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95C70"/>
    <w:multiLevelType w:val="multilevel"/>
    <w:tmpl w:val="024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16"/>
  </w:num>
  <w:num w:numId="9">
    <w:abstractNumId w:val="2"/>
  </w:num>
  <w:num w:numId="10">
    <w:abstractNumId w:val="25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7"/>
  </w:num>
  <w:num w:numId="16">
    <w:abstractNumId w:val="26"/>
  </w:num>
  <w:num w:numId="17">
    <w:abstractNumId w:val="20"/>
  </w:num>
  <w:num w:numId="18">
    <w:abstractNumId w:val="14"/>
  </w:num>
  <w:num w:numId="19">
    <w:abstractNumId w:val="13"/>
  </w:num>
  <w:num w:numId="20">
    <w:abstractNumId w:val="22"/>
  </w:num>
  <w:num w:numId="21">
    <w:abstractNumId w:val="24"/>
  </w:num>
  <w:num w:numId="22">
    <w:abstractNumId w:val="1"/>
  </w:num>
  <w:num w:numId="23">
    <w:abstractNumId w:val="21"/>
  </w:num>
  <w:num w:numId="24">
    <w:abstractNumId w:val="5"/>
  </w:num>
  <w:num w:numId="25">
    <w:abstractNumId w:val="28"/>
  </w:num>
  <w:num w:numId="26">
    <w:abstractNumId w:val="19"/>
  </w:num>
  <w:num w:numId="27">
    <w:abstractNumId w:val="4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A"/>
    <w:rsid w:val="000737ED"/>
    <w:rsid w:val="00531572"/>
    <w:rsid w:val="005F5EDA"/>
    <w:rsid w:val="00641E7D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B3FF"/>
  <w15:chartTrackingRefBased/>
  <w15:docId w15:val="{BD7207A1-09B8-4FFE-9D47-7CCDBBC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9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3863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12" w:space="8" w:color="105185"/>
                            <w:left w:val="single" w:sz="12" w:space="8" w:color="105185"/>
                            <w:bottom w:val="single" w:sz="12" w:space="8" w:color="105185"/>
                            <w:right w:val="single" w:sz="12" w:space="8" w:color="105185"/>
                          </w:divBdr>
                        </w:div>
                        <w:div w:id="17701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940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807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105185"/>
                                    <w:left w:val="single" w:sz="24" w:space="0" w:color="105185"/>
                                    <w:bottom w:val="single" w:sz="24" w:space="0" w:color="105185"/>
                                    <w:right w:val="single" w:sz="24" w:space="0" w:color="105185"/>
                                  </w:divBdr>
                                </w:div>
                                <w:div w:id="9379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497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4841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4487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919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529137">
                  <w:marLeft w:val="0"/>
                  <w:marRight w:val="0"/>
                  <w:marTop w:val="600"/>
                  <w:marBottom w:val="600"/>
                  <w:divBdr>
                    <w:top w:val="single" w:sz="6" w:space="23" w:color="CCCCCC"/>
                    <w:left w:val="single" w:sz="48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1908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575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12" w:space="8" w:color="006600"/>
                            <w:left w:val="single" w:sz="12" w:space="8" w:color="006600"/>
                            <w:bottom w:val="single" w:sz="12" w:space="8" w:color="006600"/>
                            <w:right w:val="single" w:sz="12" w:space="8" w:color="006600"/>
                          </w:divBdr>
                        </w:div>
                        <w:div w:id="41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2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9469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006600"/>
                                    <w:left w:val="single" w:sz="24" w:space="0" w:color="006600"/>
                                    <w:bottom w:val="single" w:sz="24" w:space="0" w:color="006600"/>
                                    <w:right w:val="single" w:sz="24" w:space="0" w:color="006600"/>
                                  </w:divBdr>
                                </w:div>
                                <w:div w:id="2116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5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1585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80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5172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1765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05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8810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006600"/>
                                    <w:left w:val="single" w:sz="24" w:space="0" w:color="006600"/>
                                    <w:bottom w:val="single" w:sz="24" w:space="0" w:color="006600"/>
                                    <w:right w:val="single" w:sz="24" w:space="0" w:color="006600"/>
                                  </w:divBdr>
                                </w:div>
                                <w:div w:id="3490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7827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749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738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009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0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470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1246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006600"/>
                                    <w:left w:val="single" w:sz="24" w:space="0" w:color="006600"/>
                                    <w:bottom w:val="single" w:sz="24" w:space="0" w:color="006600"/>
                                    <w:right w:val="single" w:sz="24" w:space="0" w:color="006600"/>
                                  </w:divBdr>
                                </w:div>
                                <w:div w:id="16353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9729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0923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561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4597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99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881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006600"/>
                                    <w:left w:val="single" w:sz="24" w:space="0" w:color="006600"/>
                                    <w:bottom w:val="single" w:sz="24" w:space="0" w:color="006600"/>
                                    <w:right w:val="single" w:sz="24" w:space="0" w:color="006600"/>
                                  </w:divBdr>
                                </w:div>
                                <w:div w:id="7379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6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5683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9343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3992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1488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719213">
                  <w:marLeft w:val="0"/>
                  <w:marRight w:val="0"/>
                  <w:marTop w:val="600"/>
                  <w:marBottom w:val="600"/>
                  <w:divBdr>
                    <w:top w:val="single" w:sz="6" w:space="23" w:color="CCCCCC"/>
                    <w:left w:val="single" w:sz="48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458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337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12" w:space="8" w:color="A84800"/>
                            <w:left w:val="single" w:sz="12" w:space="8" w:color="A84800"/>
                            <w:bottom w:val="single" w:sz="12" w:space="8" w:color="A84800"/>
                            <w:right w:val="single" w:sz="12" w:space="8" w:color="A84800"/>
                          </w:divBdr>
                        </w:div>
                        <w:div w:id="20275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20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5106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14328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545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2801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786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794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6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449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6380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921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401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386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747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03981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22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2316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2788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2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8312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9553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8158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2678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14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3712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11613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784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4906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423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826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146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0191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63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536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4019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78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2892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024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95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84800"/>
                                    <w:left w:val="single" w:sz="24" w:space="0" w:color="A84800"/>
                                    <w:bottom w:val="single" w:sz="24" w:space="0" w:color="A84800"/>
                                    <w:right w:val="single" w:sz="24" w:space="0" w:color="A84800"/>
                                  </w:divBdr>
                                </w:div>
                                <w:div w:id="11362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6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8460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727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0271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061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314255">
                  <w:marLeft w:val="0"/>
                  <w:marRight w:val="0"/>
                  <w:marTop w:val="600"/>
                  <w:marBottom w:val="600"/>
                  <w:divBdr>
                    <w:top w:val="single" w:sz="6" w:space="23" w:color="CCCCCC"/>
                    <w:left w:val="single" w:sz="48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850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1485">
          <w:marLeft w:val="0"/>
          <w:marRight w:val="0"/>
          <w:marTop w:val="600"/>
          <w:marBottom w:val="0"/>
          <w:divBdr>
            <w:top w:val="single" w:sz="6" w:space="8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512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7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64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9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3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8" Type="http://schemas.openxmlformats.org/officeDocument/2006/relationships/hyperlink" Target="https://www.logical.it/landing/superbonus-110-ediliz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2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7" Type="http://schemas.openxmlformats.org/officeDocument/2006/relationships/hyperlink" Target="https://www.logical.it/landing/superbonus-110-ediliz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1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0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cal.it/progettazione-approfondimenti/efficienza-energetica-degli-edifici/superbonus-110-e-lavori-ammessi-ecco-la-guida-interattiva" TargetMode="External"/><Relationship Id="rId14" Type="http://schemas.openxmlformats.org/officeDocument/2006/relationships/hyperlink" Target="https://www.logical.it/progettazione-approfondimenti/efficienza-energetica-degli-edifici/superbonus-110-e-lavori-ammessi-ecco-la-guida-interat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Monica Spagnoli</cp:lastModifiedBy>
  <cp:revision>2</cp:revision>
  <dcterms:created xsi:type="dcterms:W3CDTF">2020-12-15T17:14:00Z</dcterms:created>
  <dcterms:modified xsi:type="dcterms:W3CDTF">2020-12-15T17:14:00Z</dcterms:modified>
</cp:coreProperties>
</file>